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EF8F1" w14:textId="0B79F407"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80</w:t>
      </w:r>
      <w:r w:rsidRPr="002C1039">
        <w:rPr>
          <w:sz w:val="24"/>
        </w:rPr>
        <w:tab/>
      </w:r>
      <w:r>
        <w:rPr>
          <w:iCs/>
          <w:sz w:val="24"/>
        </w:rPr>
        <w:t>R4-</w:t>
      </w:r>
      <w:r w:rsidR="0090412B" w:rsidRPr="0090412B">
        <w:t xml:space="preserve"> </w:t>
      </w:r>
      <w:r w:rsidR="0090412B" w:rsidRPr="0090412B">
        <w:rPr>
          <w:sz w:val="24"/>
          <w:szCs w:val="24"/>
        </w:rPr>
        <w:t>165162</w:t>
      </w:r>
    </w:p>
    <w:p w14:paraId="4030E9A0" w14:textId="1975E1A8" w:rsidR="00E50C95" w:rsidRPr="00796F09" w:rsidRDefault="000A7331" w:rsidP="00E50C95">
      <w:pPr>
        <w:pStyle w:val="Header"/>
        <w:tabs>
          <w:tab w:val="right" w:pos="9630"/>
        </w:tabs>
        <w:spacing w:after="120"/>
        <w:rPr>
          <w:sz w:val="24"/>
        </w:rPr>
      </w:pPr>
      <w:r>
        <w:rPr>
          <w:sz w:val="24"/>
        </w:rPr>
        <w:t>Gothenburg</w:t>
      </w:r>
      <w:r w:rsidR="00B02DFB">
        <w:rPr>
          <w:sz w:val="24"/>
        </w:rPr>
        <w:t xml:space="preserve">, </w:t>
      </w:r>
      <w:r>
        <w:rPr>
          <w:sz w:val="24"/>
        </w:rPr>
        <w:t>Sweden</w:t>
      </w:r>
      <w:r w:rsidR="00E50C95">
        <w:rPr>
          <w:sz w:val="24"/>
        </w:rPr>
        <w:t xml:space="preserve">, </w:t>
      </w:r>
      <w:r w:rsidR="005E3D21">
        <w:rPr>
          <w:sz w:val="24"/>
        </w:rPr>
        <w:t>2</w:t>
      </w:r>
      <w:r>
        <w:rPr>
          <w:sz w:val="24"/>
        </w:rPr>
        <w:t>2</w:t>
      </w:r>
      <w:r>
        <w:rPr>
          <w:sz w:val="24"/>
          <w:vertAlign w:val="superscript"/>
        </w:rPr>
        <w:t>nd</w:t>
      </w:r>
      <w:r w:rsidR="00332CA3">
        <w:rPr>
          <w:sz w:val="24"/>
        </w:rPr>
        <w:t xml:space="preserve"> </w:t>
      </w:r>
      <w:r w:rsidR="00F860D2">
        <w:rPr>
          <w:sz w:val="24"/>
        </w:rPr>
        <w:t>August</w:t>
      </w:r>
      <w:r w:rsidR="00332CA3">
        <w:rPr>
          <w:sz w:val="24"/>
        </w:rPr>
        <w:t xml:space="preserve"> – </w:t>
      </w:r>
      <w:r w:rsidR="005E3D21">
        <w:rPr>
          <w:sz w:val="24"/>
        </w:rPr>
        <w:t>2</w:t>
      </w:r>
      <w:r>
        <w:rPr>
          <w:sz w:val="24"/>
        </w:rPr>
        <w:t>6</w:t>
      </w:r>
      <w:r w:rsidR="00B02DFB" w:rsidRPr="00B02DFB">
        <w:rPr>
          <w:sz w:val="24"/>
          <w:vertAlign w:val="superscript"/>
        </w:rPr>
        <w:t>th</w:t>
      </w:r>
      <w:r w:rsidR="00430016">
        <w:rPr>
          <w:sz w:val="24"/>
        </w:rPr>
        <w:t xml:space="preserve"> </w:t>
      </w:r>
      <w:r w:rsidR="00F860D2">
        <w:rPr>
          <w:sz w:val="24"/>
        </w:rPr>
        <w:t>August</w:t>
      </w:r>
      <w:r w:rsidR="00E50C95">
        <w:rPr>
          <w:sz w:val="24"/>
        </w:rPr>
        <w:t xml:space="preserve"> </w:t>
      </w:r>
      <w:r w:rsidR="00E50C95" w:rsidRPr="00796F09">
        <w:rPr>
          <w:sz w:val="24"/>
        </w:rPr>
        <w:t>201</w:t>
      </w:r>
      <w:r>
        <w:rPr>
          <w:sz w:val="24"/>
        </w:rPr>
        <w:t>6</w:t>
      </w:r>
    </w:p>
    <w:p w14:paraId="2F7F822E" w14:textId="77777777" w:rsidR="00624C4C" w:rsidRPr="009177A5" w:rsidRDefault="00624C4C" w:rsidP="00624C4C">
      <w:pPr>
        <w:spacing w:after="120"/>
        <w:ind w:left="1985" w:hanging="1985"/>
        <w:rPr>
          <w:rFonts w:ascii="Arial" w:hAnsi="Arial" w:cs="Arial"/>
          <w:b/>
          <w:lang w:val="en-US"/>
        </w:rPr>
      </w:pPr>
    </w:p>
    <w:p w14:paraId="49B1FD7F" w14:textId="7777777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1185E766" w14:textId="77777777" w:rsidR="00916409" w:rsidRDefault="00624C4C" w:rsidP="00624C4C">
      <w:pPr>
        <w:spacing w:after="60"/>
        <w:ind w:left="1985" w:hanging="1985"/>
        <w:rPr>
          <w:rFonts w:ascii="Arial" w:hAnsi="Arial" w:cs="Arial"/>
          <w:lang w:val="en-US"/>
        </w:rPr>
      </w:pPr>
      <w:r w:rsidRPr="009177A5">
        <w:rPr>
          <w:rFonts w:ascii="Arial" w:hAnsi="Arial" w:cs="Arial"/>
          <w:b/>
          <w:lang w:val="en-US"/>
        </w:rPr>
        <w:t>Title:</w:t>
      </w:r>
      <w:r w:rsidRPr="009177A5">
        <w:rPr>
          <w:rFonts w:ascii="Arial" w:hAnsi="Arial" w:cs="Arial"/>
          <w:b/>
          <w:lang w:val="en-US"/>
        </w:rPr>
        <w:tab/>
      </w:r>
      <w:r w:rsidR="00916409" w:rsidRPr="00916409">
        <w:rPr>
          <w:rFonts w:ascii="Arial" w:hAnsi="Arial" w:cs="Arial"/>
          <w:lang w:val="en-US"/>
        </w:rPr>
        <w:t>CBRS 3.5 GHz band for LTE in the United States</w:t>
      </w:r>
    </w:p>
    <w:p w14:paraId="376B195E" w14:textId="590AF17F" w:rsidR="00624C4C" w:rsidRDefault="00624C4C" w:rsidP="00624C4C">
      <w:pPr>
        <w:spacing w:after="60"/>
        <w:ind w:left="1985" w:hanging="1985"/>
        <w:rPr>
          <w:rFonts w:ascii="Arial" w:hAnsi="Arial" w:cs="Arial"/>
          <w:lang w:val="en-US"/>
        </w:rPr>
      </w:pPr>
      <w:r w:rsidRPr="00A02102">
        <w:rPr>
          <w:rFonts w:ascii="Arial" w:hAnsi="Arial" w:cs="Arial"/>
          <w:b/>
          <w:lang w:val="en-US"/>
        </w:rPr>
        <w:t>Agenda item:</w:t>
      </w:r>
      <w:r w:rsidRPr="00A02102">
        <w:rPr>
          <w:rFonts w:ascii="Arial" w:hAnsi="Arial" w:cs="Arial"/>
          <w:b/>
          <w:lang w:val="en-US"/>
        </w:rPr>
        <w:tab/>
      </w:r>
      <w:r w:rsidR="009F2A56">
        <w:rPr>
          <w:rFonts w:ascii="Arial" w:hAnsi="Arial" w:cs="Arial"/>
          <w:lang w:val="en-US"/>
        </w:rPr>
        <w:t>8.22.1</w:t>
      </w:r>
    </w:p>
    <w:p w14:paraId="655FC916" w14:textId="27ED9D0C" w:rsidR="00733957" w:rsidRPr="00E23E65" w:rsidRDefault="00733957" w:rsidP="00624C4C">
      <w:pPr>
        <w:spacing w:after="60"/>
        <w:ind w:left="1985" w:hanging="1985"/>
        <w:rPr>
          <w:rFonts w:ascii="Arial" w:hAnsi="Arial" w:cs="Arial"/>
          <w:bCs/>
          <w:lang w:val="en-US"/>
        </w:rPr>
      </w:pPr>
      <w:r w:rsidRPr="00733957">
        <w:rPr>
          <w:rFonts w:ascii="Arial" w:hAnsi="Arial" w:cs="Arial"/>
          <w:b/>
          <w:bCs/>
          <w:lang w:val="en-US"/>
        </w:rPr>
        <w:t>Acronym</w:t>
      </w:r>
      <w:r w:rsidRPr="00733957">
        <w:rPr>
          <w:rFonts w:ascii="Arial" w:hAnsi="Arial" w:cs="Arial"/>
          <w:bCs/>
          <w:lang w:val="en-US"/>
        </w:rPr>
        <w:tab/>
      </w:r>
      <w:r w:rsidRPr="00733957">
        <w:rPr>
          <w:rFonts w:ascii="Arial" w:hAnsi="Arial" w:cs="Arial"/>
          <w:bCs/>
          <w:lang w:val="en-US"/>
        </w:rPr>
        <w:tab/>
        <w:t>LTE_TDD_3550_CBRS_US</w:t>
      </w:r>
    </w:p>
    <w:p w14:paraId="22B8EBBD" w14:textId="57F875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0A7331">
        <w:rPr>
          <w:rFonts w:ascii="Arial" w:hAnsi="Arial" w:cs="Arial"/>
          <w:bCs/>
          <w:lang w:val="en-US"/>
        </w:rPr>
        <w:t>Discussion</w:t>
      </w:r>
    </w:p>
    <w:p w14:paraId="2B387B2B" w14:textId="77777777" w:rsidR="00624C4C" w:rsidRPr="009177A5" w:rsidRDefault="00624C4C" w:rsidP="00624C4C">
      <w:pPr>
        <w:pBdr>
          <w:bottom w:val="single" w:sz="4" w:space="1" w:color="auto"/>
        </w:pBdr>
        <w:rPr>
          <w:rFonts w:ascii="Arial" w:hAnsi="Arial" w:cs="Arial"/>
          <w:lang w:val="en-US"/>
        </w:rPr>
      </w:pPr>
    </w:p>
    <w:p w14:paraId="30D9DB5E" w14:textId="77777777" w:rsidR="00624C4C" w:rsidRDefault="00624C4C" w:rsidP="00624C4C">
      <w:pPr>
        <w:pStyle w:val="Heading2"/>
        <w:rPr>
          <w:lang w:val="en-US"/>
        </w:rPr>
      </w:pPr>
      <w:r>
        <w:rPr>
          <w:lang w:val="en-US"/>
        </w:rPr>
        <w:t>1</w:t>
      </w:r>
      <w:r>
        <w:rPr>
          <w:lang w:val="en-US"/>
        </w:rPr>
        <w:tab/>
        <w:t>Introduction</w:t>
      </w:r>
    </w:p>
    <w:p w14:paraId="7F850612" w14:textId="799B4859" w:rsidR="00EE1B51" w:rsidRDefault="00B02DFB" w:rsidP="00F17C55">
      <w:pPr>
        <w:jc w:val="both"/>
        <w:rPr>
          <w:lang w:val="en-US"/>
        </w:rPr>
      </w:pPr>
      <w:r>
        <w:rPr>
          <w:lang w:val="en-US"/>
        </w:rPr>
        <w:t>In RAN #</w:t>
      </w:r>
      <w:r w:rsidR="000A7331">
        <w:rPr>
          <w:lang w:val="en-US"/>
        </w:rPr>
        <w:t>72</w:t>
      </w:r>
      <w:r>
        <w:rPr>
          <w:lang w:val="en-US"/>
        </w:rPr>
        <w:t xml:space="preserve">, </w:t>
      </w:r>
      <w:r w:rsidR="005E3D21">
        <w:rPr>
          <w:lang w:val="en-US"/>
        </w:rPr>
        <w:t xml:space="preserve">a work item for </w:t>
      </w:r>
      <w:r w:rsidR="00F17C55">
        <w:rPr>
          <w:lang w:val="en-US"/>
        </w:rPr>
        <w:t xml:space="preserve">a new </w:t>
      </w:r>
      <w:r w:rsidR="000A7331">
        <w:rPr>
          <w:lang w:val="en-US"/>
        </w:rPr>
        <w:t xml:space="preserve">3.5 GHz </w:t>
      </w:r>
      <w:r w:rsidR="00F17C55">
        <w:rPr>
          <w:lang w:val="en-US"/>
        </w:rPr>
        <w:t xml:space="preserve">TDD </w:t>
      </w:r>
      <w:r w:rsidR="00733957">
        <w:rPr>
          <w:lang w:val="en-US"/>
        </w:rPr>
        <w:t xml:space="preserve">CBRS </w:t>
      </w:r>
      <w:r w:rsidR="000A7331">
        <w:rPr>
          <w:lang w:val="en-US"/>
        </w:rPr>
        <w:t>band plan</w:t>
      </w:r>
      <w:r w:rsidR="005E3D21">
        <w:rPr>
          <w:lang w:val="en-US"/>
        </w:rPr>
        <w:t xml:space="preserve"> </w:t>
      </w:r>
      <w:r w:rsidR="00733957">
        <w:rPr>
          <w:lang w:val="en-US"/>
        </w:rPr>
        <w:t>for</w:t>
      </w:r>
      <w:r w:rsidR="00427286">
        <w:rPr>
          <w:lang w:val="en-US"/>
        </w:rPr>
        <w:t xml:space="preserve"> the US </w:t>
      </w:r>
      <w:r w:rsidR="005E3D21">
        <w:rPr>
          <w:lang w:val="en-US"/>
        </w:rPr>
        <w:t xml:space="preserve">was approved [1].  </w:t>
      </w:r>
      <w:r w:rsidR="00F17C55">
        <w:rPr>
          <w:lang w:val="en-US"/>
        </w:rPr>
        <w:t xml:space="preserve">The WID calls for the creation of a new TDD band </w:t>
      </w:r>
      <w:r w:rsidR="009B4349">
        <w:rPr>
          <w:lang w:val="en-US"/>
        </w:rPr>
        <w:t>for</w:t>
      </w:r>
      <w:r w:rsidR="00F17C55">
        <w:rPr>
          <w:lang w:val="en-US"/>
        </w:rPr>
        <w:t xml:space="preserve"> </w:t>
      </w:r>
      <w:r w:rsidR="00D4506D">
        <w:rPr>
          <w:lang w:val="en-US"/>
        </w:rPr>
        <w:t xml:space="preserve">the </w:t>
      </w:r>
      <w:r w:rsidR="00F17C55">
        <w:rPr>
          <w:lang w:val="en-US"/>
        </w:rPr>
        <w:t xml:space="preserve">US ranging from </w:t>
      </w:r>
      <w:r w:rsidR="008C3095">
        <w:rPr>
          <w:lang w:val="en-US"/>
        </w:rPr>
        <w:t xml:space="preserve">3550 MHz to 3700 MHz.  It is also noted </w:t>
      </w:r>
      <w:r w:rsidR="0096353F">
        <w:rPr>
          <w:lang w:val="en-US"/>
        </w:rPr>
        <w:t xml:space="preserve">that </w:t>
      </w:r>
      <w:r w:rsidR="008C3095">
        <w:rPr>
          <w:lang w:val="en-US"/>
        </w:rPr>
        <w:t xml:space="preserve">specifying LTE </w:t>
      </w:r>
      <w:r w:rsidR="00037A9D">
        <w:rPr>
          <w:lang w:val="en-US"/>
        </w:rPr>
        <w:t xml:space="preserve">unlicensed </w:t>
      </w:r>
      <w:r w:rsidR="008C3095">
        <w:rPr>
          <w:lang w:val="en-US"/>
        </w:rPr>
        <w:t>standalone operation is not in the scope of the WI.</w:t>
      </w:r>
      <w:r w:rsidR="004A70D6">
        <w:rPr>
          <w:lang w:val="en-US"/>
        </w:rPr>
        <w:t xml:space="preserve">  In this contribution, key FCC requirements </w:t>
      </w:r>
      <w:r w:rsidR="00D4506D">
        <w:rPr>
          <w:lang w:val="en-US"/>
        </w:rPr>
        <w:t xml:space="preserve">concerning the band </w:t>
      </w:r>
      <w:r w:rsidR="00440BA3">
        <w:rPr>
          <w:lang w:val="en-US"/>
        </w:rPr>
        <w:t>are discussed and relevant issues regarding standardization of the band are observed.</w:t>
      </w:r>
      <w:r w:rsidR="004A70D6">
        <w:rPr>
          <w:lang w:val="en-US"/>
        </w:rPr>
        <w:t xml:space="preserve"> </w:t>
      </w:r>
    </w:p>
    <w:p w14:paraId="2D46DDAC" w14:textId="77777777" w:rsidR="007D3D8F" w:rsidRDefault="007D3D8F" w:rsidP="00F64536">
      <w:pPr>
        <w:jc w:val="both"/>
        <w:rPr>
          <w:lang w:val="en-US"/>
        </w:rPr>
      </w:pPr>
    </w:p>
    <w:p w14:paraId="12B2D027" w14:textId="46CE07F2" w:rsidR="00624C4C" w:rsidRDefault="00624C4C" w:rsidP="00624C4C">
      <w:pPr>
        <w:pStyle w:val="Heading2"/>
      </w:pPr>
      <w:bookmarkStart w:id="13" w:name="_Toc354623709"/>
      <w:r>
        <w:rPr>
          <w:lang w:val="en-US"/>
        </w:rPr>
        <w:t>2</w:t>
      </w:r>
      <w:r>
        <w:rPr>
          <w:lang w:val="en-US"/>
        </w:rPr>
        <w:tab/>
      </w:r>
      <w:r w:rsidR="00733957">
        <w:rPr>
          <w:lang w:val="en-US"/>
        </w:rPr>
        <w:t>Citizen Broadband Radio Service (</w:t>
      </w:r>
      <w:r w:rsidR="009B4349">
        <w:rPr>
          <w:lang w:val="en-US"/>
        </w:rPr>
        <w:t>CBRS</w:t>
      </w:r>
      <w:r w:rsidR="00733957">
        <w:rPr>
          <w:lang w:val="en-US"/>
        </w:rPr>
        <w:t>)</w:t>
      </w:r>
    </w:p>
    <w:p w14:paraId="076527BA" w14:textId="0BDB9977" w:rsidR="00F65646" w:rsidRDefault="00E1797E" w:rsidP="006D0091">
      <w:r>
        <w:t xml:space="preserve">The FCC, in its two Report and Orders (R&amp;Os) concerning the </w:t>
      </w:r>
      <w:r w:rsidR="00602F1D">
        <w:t>Citizen Broadband Radio Service (</w:t>
      </w:r>
      <w:r w:rsidR="009B4349">
        <w:t>CBRS</w:t>
      </w:r>
      <w:r w:rsidR="00602F1D">
        <w:t xml:space="preserve">) </w:t>
      </w:r>
      <w:r w:rsidRPr="00E1693A">
        <w:t>band</w:t>
      </w:r>
      <w:r w:rsidR="00ED2989" w:rsidRPr="00E1693A">
        <w:t xml:space="preserve"> [2,3]</w:t>
      </w:r>
      <w:r w:rsidRPr="00E1693A">
        <w:t>,</w:t>
      </w:r>
      <w:r>
        <w:t xml:space="preserve"> has laid out very detailed and </w:t>
      </w:r>
      <w:r w:rsidR="00A067DC">
        <w:t>sophisticated</w:t>
      </w:r>
      <w:r>
        <w:t xml:space="preserve"> sharing requirements in order to maximize</w:t>
      </w:r>
      <w:r w:rsidR="00703379">
        <w:t xml:space="preserve"> the utilization of the band.  </w:t>
      </w:r>
      <w:r w:rsidR="00F65646">
        <w:t>This band</w:t>
      </w:r>
      <w:r w:rsidR="00F65646" w:rsidRPr="00F65646">
        <w:t xml:space="preserve"> has </w:t>
      </w:r>
      <w:r w:rsidR="00F65646">
        <w:t>multiple</w:t>
      </w:r>
      <w:r w:rsidR="00F65646" w:rsidRPr="00F65646">
        <w:t xml:space="preserve"> components which are unique with respect to other 3GPP bands; incumbent </w:t>
      </w:r>
      <w:r w:rsidR="00F65646">
        <w:t>legacy access</w:t>
      </w:r>
      <w:r w:rsidR="00F65646" w:rsidRPr="00F65646">
        <w:t xml:space="preserve">, </w:t>
      </w:r>
      <w:r w:rsidR="00F65646">
        <w:t>priority access</w:t>
      </w:r>
      <w:r w:rsidR="00F65646" w:rsidRPr="00F65646">
        <w:t xml:space="preserve"> (similar to </w:t>
      </w:r>
      <w:r w:rsidR="00D4506D">
        <w:t xml:space="preserve">exclusive </w:t>
      </w:r>
      <w:r w:rsidR="00F65646" w:rsidRPr="00F65646">
        <w:t xml:space="preserve">licensed operation) and general </w:t>
      </w:r>
      <w:r w:rsidR="00F65646">
        <w:t>access</w:t>
      </w:r>
      <w:r w:rsidR="00F65646" w:rsidRPr="00F65646">
        <w:t xml:space="preserve"> (similar to </w:t>
      </w:r>
      <w:r w:rsidR="00D4506D">
        <w:t xml:space="preserve">shared </w:t>
      </w:r>
      <w:r w:rsidR="00F65646" w:rsidRPr="00F65646">
        <w:t xml:space="preserve">unlicensed operation) which are all managed by a Spectrum Access System (SAS) to address sharing and co-existence.  </w:t>
      </w:r>
      <w:r w:rsidR="00942B92" w:rsidRPr="00942B92">
        <w:t xml:space="preserve">The uniqueness of this approach </w:t>
      </w:r>
      <w:r w:rsidR="00D4506D">
        <w:t>is emphasized</w:t>
      </w:r>
      <w:r w:rsidR="00942B92" w:rsidRPr="00942B92">
        <w:t xml:space="preserve"> in the FCC </w:t>
      </w:r>
      <w:r w:rsidR="00D4506D">
        <w:t>R&amp;O</w:t>
      </w:r>
      <w:r w:rsidR="00942B92">
        <w:t>;</w:t>
      </w:r>
      <w:r w:rsidR="00942B92" w:rsidRPr="00942B92">
        <w:t xml:space="preserve"> </w:t>
      </w:r>
      <w:r w:rsidR="00942B92" w:rsidRPr="00942B92">
        <w:rPr>
          <w:i/>
        </w:rPr>
        <w:t>“… CBRS takes advantage of advances in technology and spectrum policy to dissolve age-old regulatory divisions between commercial and federal users, exclusive and non –exclusive authorizations, and private and carrier networks.”</w:t>
      </w:r>
      <w:r w:rsidR="00942B92" w:rsidRPr="00942B92">
        <w:t xml:space="preserve"> [3]</w:t>
      </w:r>
    </w:p>
    <w:p w14:paraId="164D0795" w14:textId="548A81CE" w:rsidR="00F65646" w:rsidRDefault="00D4506D" w:rsidP="006D0091">
      <w:r>
        <w:t>Accordingly, t</w:t>
      </w:r>
      <w:r w:rsidR="00942B92">
        <w:t>he FCC imposed a three-tiered sharing for the band; incumbent access, priority access license (PAL) and general authorized access (GAA)</w:t>
      </w:r>
      <w:r w:rsidR="00264196">
        <w:t>:</w:t>
      </w:r>
    </w:p>
    <w:p w14:paraId="4811ED4B" w14:textId="12EFFF18" w:rsidR="00264196" w:rsidRDefault="00264196" w:rsidP="00264196">
      <w:pPr>
        <w:jc w:val="both"/>
      </w:pPr>
      <w:r>
        <w:t>I</w:t>
      </w:r>
      <w:r w:rsidRPr="00EC02C2">
        <w:rPr>
          <w:b/>
        </w:rPr>
        <w:t>ncumbents</w:t>
      </w:r>
      <w:r>
        <w:t xml:space="preserve"> are legacy federal and satellite fixed satellite service (FSS) users in the band and have the highest priority </w:t>
      </w:r>
      <w:r w:rsidRPr="00F1788D">
        <w:t>and receive protection from all CBRS users</w:t>
      </w:r>
      <w:r>
        <w:t>. Protected incumbents include federal shipborne and ground band radar and FSS earth stations in the 3600-3700MHz band, and for a finite period, grandfathered terrestrial wireless operators in the 3650-3700 band.</w:t>
      </w:r>
    </w:p>
    <w:p w14:paraId="72C91F86" w14:textId="6FA98FE7" w:rsidR="00264196" w:rsidRPr="006C7DA3" w:rsidRDefault="00264196" w:rsidP="00264196">
      <w:pPr>
        <w:shd w:val="clear" w:color="auto" w:fill="FFFFFF"/>
        <w:spacing w:before="100" w:beforeAutospacing="1" w:after="100" w:afterAutospacing="1"/>
        <w:jc w:val="both"/>
        <w:rPr>
          <w:color w:val="000000"/>
          <w:lang w:eastAsia="en-GB"/>
        </w:rPr>
      </w:pPr>
      <w:r w:rsidRPr="00EC02C2">
        <w:rPr>
          <w:b/>
        </w:rPr>
        <w:t>PAL</w:t>
      </w:r>
      <w:r>
        <w:t xml:space="preserve"> operation </w:t>
      </w:r>
      <w:r w:rsidR="00111B4D">
        <w:t>has the next priority and GAA users must avoid causing harmful in</w:t>
      </w:r>
      <w:r w:rsidR="00020BE8">
        <w:t>ter</w:t>
      </w:r>
      <w:r w:rsidR="00111B4D">
        <w:t xml:space="preserve">ference to PAL users.  PAL </w:t>
      </w:r>
      <w:r>
        <w:t>will</w:t>
      </w:r>
      <w:r w:rsidR="00971636">
        <w:t xml:space="preserve"> be</w:t>
      </w:r>
      <w:r>
        <w:t xml:space="preserve"> licensed </w:t>
      </w:r>
      <w:r w:rsidR="00111B4D">
        <w:t xml:space="preserve">in </w:t>
      </w:r>
      <w:r>
        <w:t>10MHz unpaired channel</w:t>
      </w:r>
      <w:r w:rsidR="00111B4D">
        <w:t>s</w:t>
      </w:r>
      <w:r>
        <w:t xml:space="preserve"> and </w:t>
      </w:r>
      <w:r w:rsidR="00971636">
        <w:t xml:space="preserve">its allocation </w:t>
      </w:r>
      <w:r w:rsidR="001378B5">
        <w:t xml:space="preserve">is limited up to 70 MHz in the 3550-3650 MHz span.  </w:t>
      </w:r>
      <w:r w:rsidR="00971636">
        <w:t xml:space="preserve">Actual </w:t>
      </w:r>
      <w:r w:rsidR="00971636">
        <w:rPr>
          <w:color w:val="000000"/>
          <w:lang w:eastAsia="en-GB"/>
        </w:rPr>
        <w:t>c</w:t>
      </w:r>
      <w:r w:rsidRPr="006C7DA3">
        <w:rPr>
          <w:color w:val="000000"/>
          <w:lang w:eastAsia="en-GB"/>
        </w:rPr>
        <w:t xml:space="preserve">hannels </w:t>
      </w:r>
      <w:r w:rsidR="00111B4D">
        <w:rPr>
          <w:color w:val="000000"/>
          <w:lang w:eastAsia="en-GB"/>
        </w:rPr>
        <w:t xml:space="preserve">will </w:t>
      </w:r>
      <w:r w:rsidRPr="006C7DA3">
        <w:rPr>
          <w:color w:val="000000"/>
          <w:lang w:eastAsia="en-GB"/>
        </w:rPr>
        <w:t>be assigned by the SAS</w:t>
      </w:r>
      <w:r>
        <w:rPr>
          <w:color w:val="000000"/>
          <w:lang w:eastAsia="en-GB"/>
        </w:rPr>
        <w:t xml:space="preserve"> with no </w:t>
      </w:r>
      <w:r w:rsidRPr="006C7DA3">
        <w:rPr>
          <w:color w:val="000000"/>
          <w:lang w:eastAsia="en-GB"/>
        </w:rPr>
        <w:t>guarantee</w:t>
      </w:r>
      <w:r>
        <w:rPr>
          <w:color w:val="000000"/>
          <w:lang w:eastAsia="en-GB"/>
        </w:rPr>
        <w:t xml:space="preserve"> of a</w:t>
      </w:r>
      <w:r w:rsidRPr="006C7DA3">
        <w:rPr>
          <w:color w:val="000000"/>
          <w:lang w:eastAsia="en-GB"/>
        </w:rPr>
        <w:t xml:space="preserve"> particular assignment.</w:t>
      </w:r>
      <w:r w:rsidR="00971636">
        <w:rPr>
          <w:color w:val="000000"/>
          <w:lang w:eastAsia="en-GB"/>
        </w:rPr>
        <w:t xml:space="preserve">  </w:t>
      </w:r>
      <w:r>
        <w:t>The PAL network license is subject to competitive bidding</w:t>
      </w:r>
      <w:r w:rsidR="00111B4D">
        <w:t>.</w:t>
      </w:r>
    </w:p>
    <w:p w14:paraId="28CB4A3F" w14:textId="289D4124" w:rsidR="00264196" w:rsidRPr="00DB0F5C" w:rsidRDefault="00264196" w:rsidP="00264196">
      <w:pPr>
        <w:shd w:val="clear" w:color="auto" w:fill="FFFFFF"/>
        <w:spacing w:before="100" w:beforeAutospacing="1" w:after="100" w:afterAutospacing="1"/>
        <w:jc w:val="both"/>
        <w:rPr>
          <w:color w:val="000000"/>
          <w:lang w:eastAsia="en-GB"/>
        </w:rPr>
      </w:pPr>
      <w:r w:rsidRPr="00EC02C2">
        <w:rPr>
          <w:b/>
        </w:rPr>
        <w:t>GAA</w:t>
      </w:r>
      <w:r>
        <w:t xml:space="preserve"> operation </w:t>
      </w:r>
      <w:r w:rsidR="0026790A">
        <w:t>is permitted</w:t>
      </w:r>
      <w:r>
        <w:t xml:space="preserve"> </w:t>
      </w:r>
      <w:r w:rsidR="0026790A">
        <w:t xml:space="preserve">over the entire 150 MHz band span, </w:t>
      </w:r>
      <w:r>
        <w:t xml:space="preserve">on any frequencies not assigned to PAL </w:t>
      </w:r>
      <w:r w:rsidR="0026790A">
        <w:t xml:space="preserve">and </w:t>
      </w:r>
      <w:r w:rsidR="00020BE8">
        <w:t>not-used</w:t>
      </w:r>
      <w:r w:rsidR="0026790A">
        <w:t xml:space="preserve"> PAL allocations.  The FCC allows GAA access under the “licensed-by-rule” regime by which no individual licenses are required and end users are automatically licensed by complying with the necessary rules</w:t>
      </w:r>
      <w:r>
        <w:t xml:space="preserve">. </w:t>
      </w:r>
      <w:r w:rsidR="0026790A">
        <w:t xml:space="preserve"> </w:t>
      </w:r>
      <w:r>
        <w:t>GAA users must not cause h</w:t>
      </w:r>
      <w:r w:rsidR="0026790A">
        <w:t>armful inference to higher tier</w:t>
      </w:r>
      <w:r>
        <w:t xml:space="preserve"> (Incumbent/PAL) users and are not “protected” from other CBRS (PAL/GAA) user</w:t>
      </w:r>
      <w:r w:rsidR="0026790A">
        <w:t>s</w:t>
      </w:r>
      <w:r>
        <w:t xml:space="preserve">. </w:t>
      </w:r>
    </w:p>
    <w:p w14:paraId="2428A03E" w14:textId="33D8C67D" w:rsidR="00F65646" w:rsidRDefault="0090697A" w:rsidP="006D0091">
      <w:r>
        <w:t xml:space="preserve">Figure 1 shows the proposed band plan and allowed access types in the band.  </w:t>
      </w:r>
      <w:r w:rsidR="0026790A">
        <w:t xml:space="preserve">In this contribution, the focus is </w:t>
      </w:r>
      <w:r w:rsidR="00020BE8">
        <w:t xml:space="preserve">on </w:t>
      </w:r>
      <w:r w:rsidR="0026790A">
        <w:t>PAL and GAA since these are the licensees which can potentially leverage 3GPP technologies.</w:t>
      </w:r>
    </w:p>
    <w:p w14:paraId="76C9CD02" w14:textId="77777777" w:rsidR="0090697A" w:rsidRDefault="0090697A" w:rsidP="006D0091"/>
    <w:p w14:paraId="77A4402B" w14:textId="77777777" w:rsidR="0090697A" w:rsidRDefault="0090697A" w:rsidP="0090697A">
      <w:r>
        <w:object w:dxaOrig="12675" w:dyaOrig="2064" w14:anchorId="1AB39D3F">
          <v:shape id="_x0000_i1025" type="#_x0000_t75" style="width:480pt;height:78pt" o:ole="">
            <v:imagedata r:id="rId8" o:title=""/>
          </v:shape>
          <o:OLEObject Type="Embed" ProgID="Visio.Drawing.11" ShapeID="_x0000_i1025" DrawAspect="Content" ObjectID="_1532497957" r:id="rId9"/>
        </w:object>
      </w:r>
    </w:p>
    <w:p w14:paraId="733E99FE" w14:textId="77777777" w:rsidR="0090697A" w:rsidRDefault="0090697A" w:rsidP="0090697A">
      <w:pPr>
        <w:pStyle w:val="Caption"/>
        <w:jc w:val="center"/>
      </w:pPr>
      <w:r>
        <w:lastRenderedPageBreak/>
        <w:t xml:space="preserve">Figure </w:t>
      </w:r>
      <w:r>
        <w:fldChar w:fldCharType="begin"/>
      </w:r>
      <w:r>
        <w:instrText xml:space="preserve"> SEQ Figure \* ARABIC </w:instrText>
      </w:r>
      <w:r>
        <w:fldChar w:fldCharType="separate"/>
      </w:r>
      <w:r>
        <w:rPr>
          <w:noProof/>
        </w:rPr>
        <w:t>1</w:t>
      </w:r>
      <w:r>
        <w:fldChar w:fldCharType="end"/>
      </w:r>
      <w:r>
        <w:t>.  US CBRS Band</w:t>
      </w:r>
    </w:p>
    <w:p w14:paraId="36CABCA3" w14:textId="77777777" w:rsidR="0090697A" w:rsidRDefault="0090697A" w:rsidP="006D0091"/>
    <w:p w14:paraId="677EF813" w14:textId="4C0E421B" w:rsidR="0090697A" w:rsidRDefault="00E25D2A" w:rsidP="006D0091">
      <w:r>
        <w:t>The SAS i</w:t>
      </w:r>
      <w:r w:rsidRPr="00DB0F5C">
        <w:t>s the central spectrum management entity</w:t>
      </w:r>
      <w:r>
        <w:t xml:space="preserve"> </w:t>
      </w:r>
      <w:r w:rsidRPr="00DB0F5C">
        <w:t xml:space="preserve">augmented by a network of Environment Sensing Capability (ESC) components to </w:t>
      </w:r>
      <w:r w:rsidRPr="00E2365B">
        <w:t>manage</w:t>
      </w:r>
      <w:r w:rsidRPr="00DB0F5C">
        <w:t xml:space="preserve"> the spectrum allocation</w:t>
      </w:r>
      <w:r>
        <w:t xml:space="preserve"> </w:t>
      </w:r>
      <w:r w:rsidRPr="00DB0F5C">
        <w:t xml:space="preserve">and </w:t>
      </w:r>
      <w:r>
        <w:t xml:space="preserve">channel </w:t>
      </w:r>
      <w:r w:rsidRPr="00DB0F5C">
        <w:t xml:space="preserve">assignment of PAL and GAA </w:t>
      </w:r>
      <w:r w:rsidR="00A73F3A">
        <w:t>licensees</w:t>
      </w:r>
      <w:r>
        <w:t xml:space="preserve">.  Enforcing </w:t>
      </w:r>
      <w:r w:rsidR="0090697A">
        <w:t xml:space="preserve">CBRS co-existence requirements is the responsibility of the SAS.  The SAS dynamically manages frequency assignments and enforces sharing rules.  All </w:t>
      </w:r>
      <w:r w:rsidR="00A73F3A">
        <w:rPr>
          <w:lang w:val="en-US"/>
        </w:rPr>
        <w:t xml:space="preserve">Citizens Broadband Service Devices </w:t>
      </w:r>
      <w:r w:rsidR="00A73F3A">
        <w:rPr>
          <w:lang w:val="en-US"/>
        </w:rPr>
        <w:t>(</w:t>
      </w:r>
      <w:r w:rsidR="0090697A">
        <w:t>CBSDs</w:t>
      </w:r>
      <w:r w:rsidR="00A73F3A">
        <w:t>)</w:t>
      </w:r>
      <w:r w:rsidR="0090697A">
        <w:t xml:space="preserve"> are required to register with the SAS and end user devices must be authorized and controlled by an SAS-authorized CBSD.  The SAS is also tasked with facilitating coordination and fair sharing among GAA users.  </w:t>
      </w:r>
      <w:r>
        <w:t xml:space="preserve">There may be </w:t>
      </w:r>
      <w:r w:rsidR="00DC117C">
        <w:t>multiple SAS</w:t>
      </w:r>
      <w:r>
        <w:t xml:space="preserve"> </w:t>
      </w:r>
      <w:r w:rsidR="00DC117C">
        <w:t>entities</w:t>
      </w:r>
      <w:r>
        <w:t xml:space="preserve"> with the expectation that there will be a </w:t>
      </w:r>
      <w:r w:rsidR="00DC117C">
        <w:t xml:space="preserve">set of </w:t>
      </w:r>
      <w:r>
        <w:t xml:space="preserve">common </w:t>
      </w:r>
      <w:r w:rsidR="00DC117C">
        <w:t>protocols</w:t>
      </w:r>
      <w:r>
        <w:t xml:space="preserve"> used to facilitate coordination and sharing </w:t>
      </w:r>
      <w:r w:rsidR="00DC117C">
        <w:t>among the SAS entities</w:t>
      </w:r>
      <w:r>
        <w:t xml:space="preserve">.  </w:t>
      </w:r>
      <w:r w:rsidR="0090697A">
        <w:t>Details on how the SAS will enforce co-existence rules such as GAA sharing and automatic frequency assignment are still unknown and the FCC expects such details to emerge during the future SAS administrator approval process.  It is clear from the rules, however, that the CBRS band in the US cannot be deployed and utilized until the SAS is in place and operational.</w:t>
      </w:r>
    </w:p>
    <w:p w14:paraId="05B20EC8" w14:textId="5A0AD767" w:rsidR="00DC117C" w:rsidRDefault="00DC117C" w:rsidP="00AE3EB1">
      <w:pPr>
        <w:jc w:val="both"/>
      </w:pPr>
      <w:r>
        <w:t xml:space="preserve">The FCC </w:t>
      </w:r>
      <w:r w:rsidR="00AE3EB1">
        <w:t>has imposed some unique</w:t>
      </w:r>
      <w:r>
        <w:t xml:space="preserve"> requirements </w:t>
      </w:r>
      <w:r w:rsidR="00AE3EB1">
        <w:t xml:space="preserve">for the band </w:t>
      </w:r>
      <w:r>
        <w:t>which need to be specified in terms of core 3GPP requirements such as:</w:t>
      </w:r>
    </w:p>
    <w:p w14:paraId="214BD5F4" w14:textId="2D9F862A" w:rsidR="00933A8E" w:rsidRPr="00BA6A1F" w:rsidRDefault="00933A8E" w:rsidP="00933A8E">
      <w:pPr>
        <w:pStyle w:val="ListParagraph"/>
        <w:numPr>
          <w:ilvl w:val="0"/>
          <w:numId w:val="40"/>
        </w:numPr>
      </w:pPr>
      <w:r w:rsidRPr="00933A8E">
        <w:t>PAL must accept adjacent channel/in-band blocking from other PAL/GAA radios up to -40 dBm/</w:t>
      </w:r>
      <w:r w:rsidR="00D74635">
        <w:t xml:space="preserve">10 </w:t>
      </w:r>
      <w:r w:rsidRPr="00933A8E">
        <w:t>MHz with greater than 99% probability</w:t>
      </w:r>
      <w:r>
        <w:t xml:space="preserve"> (</w:t>
      </w:r>
      <w:r w:rsidR="00ED5CE9">
        <w:t>47 C.F.R. § 96.41(f)</w:t>
      </w:r>
      <w:r>
        <w:t>)</w:t>
      </w:r>
      <w:r w:rsidR="00F70A14">
        <w:t xml:space="preserve"> with the </w:t>
      </w:r>
      <w:r w:rsidR="00F70A14" w:rsidRPr="006C7DA3">
        <w:rPr>
          <w:color w:val="000000"/>
          <w:lang w:eastAsia="en-GB"/>
        </w:rPr>
        <w:t>measurement antenna placed at a height of 1.5 meters above ground level</w:t>
      </w:r>
      <w:r w:rsidR="00F70A14">
        <w:rPr>
          <w:color w:val="000000"/>
          <w:lang w:eastAsia="en-GB"/>
        </w:rPr>
        <w:t>.  Note this is a free field measurement and not a conducted measurement</w:t>
      </w:r>
    </w:p>
    <w:p w14:paraId="5BEAD019" w14:textId="783E62AA" w:rsidR="00BA6A1F" w:rsidRDefault="00BA6A1F" w:rsidP="00BA6A1F">
      <w:pPr>
        <w:pStyle w:val="ListParagraph"/>
        <w:numPr>
          <w:ilvl w:val="0"/>
          <w:numId w:val="40"/>
        </w:numPr>
        <w:jc w:val="both"/>
      </w:pPr>
      <w:r w:rsidRPr="001774BC">
        <w:t>Out of band emissions from the edge of the operating channel must be</w:t>
      </w:r>
      <w:r w:rsidRPr="00DB0F5C">
        <w:t xml:space="preserve"> below or equal to </w:t>
      </w:r>
      <w:r>
        <w:t xml:space="preserve">-13 </w:t>
      </w:r>
      <w:r w:rsidRPr="00DB0F5C">
        <w:t xml:space="preserve">dBm/MHz within 0-10 MHz from the edges of SAS-assigned channel (or contiguous channels). </w:t>
      </w:r>
      <w:r>
        <w:t xml:space="preserve"> </w:t>
      </w:r>
      <w:r w:rsidRPr="00DB0F5C">
        <w:t xml:space="preserve">The same emission must be below or equal to </w:t>
      </w:r>
      <w:r>
        <w:t>below -25</w:t>
      </w:r>
      <w:r w:rsidRPr="00DB0F5C">
        <w:t xml:space="preserve">dBm/MHz beyond 10 MHz from the channel edges of </w:t>
      </w:r>
      <w:r>
        <w:t xml:space="preserve">a </w:t>
      </w:r>
      <w:r w:rsidRPr="00DB0F5C">
        <w:t>SAS assigned ch</w:t>
      </w:r>
      <w:r>
        <w:t xml:space="preserve">annel (or contiguous channels).  </w:t>
      </w:r>
      <w:r w:rsidRPr="00DB0F5C">
        <w:t xml:space="preserve">Moreover, the power of any emissions below 3530 MHz or above 3720 MHz shall not </w:t>
      </w:r>
      <w:r>
        <w:t>exceed -</w:t>
      </w:r>
      <w:r w:rsidRPr="00DB0F5C">
        <w:t>40dBm/</w:t>
      </w:r>
      <w:r w:rsidRPr="001774BC">
        <w:t>MHz</w:t>
      </w:r>
      <w:r>
        <w:t xml:space="preserve"> (47 C.F.R. § 96.41(e)(1,2))</w:t>
      </w:r>
    </w:p>
    <w:p w14:paraId="67D82696" w14:textId="342D15EB" w:rsidR="00933A8E" w:rsidRPr="00933A8E" w:rsidRDefault="00933A8E" w:rsidP="00933A8E">
      <w:pPr>
        <w:pStyle w:val="ListParagraph"/>
        <w:numPr>
          <w:ilvl w:val="0"/>
          <w:numId w:val="40"/>
        </w:numPr>
        <w:rPr>
          <w:lang w:val="en-US"/>
        </w:rPr>
      </w:pPr>
      <w:r>
        <w:rPr>
          <w:lang w:val="en-US"/>
        </w:rPr>
        <w:t xml:space="preserve">PAL affords protection within its </w:t>
      </w:r>
      <w:r w:rsidR="00F33E0D" w:rsidRPr="00933A8E">
        <w:rPr>
          <w:lang w:val="en-US"/>
        </w:rPr>
        <w:t xml:space="preserve">PAL </w:t>
      </w:r>
      <w:r>
        <w:rPr>
          <w:lang w:val="en-US"/>
        </w:rPr>
        <w:t xml:space="preserve">protection </w:t>
      </w:r>
      <w:r w:rsidR="00F33E0D" w:rsidRPr="00933A8E">
        <w:rPr>
          <w:lang w:val="en-US"/>
        </w:rPr>
        <w:t>area</w:t>
      </w:r>
      <w:r w:rsidR="00D76A03">
        <w:rPr>
          <w:lang w:val="en-US"/>
        </w:rPr>
        <w:t>;</w:t>
      </w:r>
      <w:r w:rsidR="00F33E0D" w:rsidRPr="00933A8E">
        <w:rPr>
          <w:lang w:val="en-US"/>
        </w:rPr>
        <w:t xml:space="preserve"> </w:t>
      </w:r>
      <w:r>
        <w:rPr>
          <w:lang w:val="en-US"/>
        </w:rPr>
        <w:t>PAL protection area is either</w:t>
      </w:r>
      <w:r w:rsidR="00F33E0D" w:rsidRPr="00933A8E">
        <w:rPr>
          <w:lang w:val="en-US"/>
        </w:rPr>
        <w:t xml:space="preserve"> operator supplied </w:t>
      </w:r>
      <w:r>
        <w:rPr>
          <w:lang w:val="en-US"/>
        </w:rPr>
        <w:t xml:space="preserve">based on actual deployment </w:t>
      </w:r>
      <w:r w:rsidR="00F33E0D" w:rsidRPr="00933A8E">
        <w:rPr>
          <w:lang w:val="en-US"/>
        </w:rPr>
        <w:t>or</w:t>
      </w:r>
      <w:r>
        <w:rPr>
          <w:lang w:val="en-US"/>
        </w:rPr>
        <w:t xml:space="preserve"> </w:t>
      </w:r>
      <w:r w:rsidR="00BC1F7C">
        <w:rPr>
          <w:lang w:val="en-US"/>
        </w:rPr>
        <w:t xml:space="preserve">based on the </w:t>
      </w:r>
      <w:r>
        <w:rPr>
          <w:lang w:val="en-US"/>
        </w:rPr>
        <w:t xml:space="preserve">maximum -96 dBm/10 MHz </w:t>
      </w:r>
      <w:r w:rsidR="005F1E81">
        <w:rPr>
          <w:lang w:val="en-US"/>
        </w:rPr>
        <w:t xml:space="preserve">power spectrum density (PSD) </w:t>
      </w:r>
      <w:r>
        <w:rPr>
          <w:lang w:val="en-US"/>
        </w:rPr>
        <w:t>contour</w:t>
      </w:r>
      <w:r w:rsidR="00BA6A1F">
        <w:rPr>
          <w:lang w:val="en-US"/>
        </w:rPr>
        <w:t xml:space="preserve"> </w:t>
      </w:r>
      <w:r w:rsidR="00BA6A1F">
        <w:t>(47 C.F.R. § 96.25(c)(2))</w:t>
      </w:r>
      <w:r w:rsidR="00BA2E9B">
        <w:rPr>
          <w:lang w:val="en-US"/>
        </w:rPr>
        <w:t xml:space="preserve">.  </w:t>
      </w:r>
      <w:r w:rsidR="00BC1F7C">
        <w:rPr>
          <w:lang w:val="en-US"/>
        </w:rPr>
        <w:t xml:space="preserve">A </w:t>
      </w:r>
      <w:r w:rsidR="00BA2E9B">
        <w:rPr>
          <w:lang w:val="en-US"/>
        </w:rPr>
        <w:t xml:space="preserve">PAL </w:t>
      </w:r>
      <w:r w:rsidR="00BC1F7C">
        <w:rPr>
          <w:lang w:val="en-US"/>
        </w:rPr>
        <w:t xml:space="preserve">user </w:t>
      </w:r>
      <w:r w:rsidR="00BA2E9B">
        <w:rPr>
          <w:lang w:val="en-US"/>
        </w:rPr>
        <w:t xml:space="preserve">is treated like </w:t>
      </w:r>
      <w:r w:rsidR="00BC1F7C">
        <w:rPr>
          <w:lang w:val="en-US"/>
        </w:rPr>
        <w:t xml:space="preserve">a </w:t>
      </w:r>
      <w:r w:rsidR="00BA2E9B">
        <w:rPr>
          <w:lang w:val="en-US"/>
        </w:rPr>
        <w:t>GAA</w:t>
      </w:r>
      <w:r w:rsidR="00BC1F7C">
        <w:rPr>
          <w:lang w:val="en-US"/>
        </w:rPr>
        <w:t xml:space="preserve"> user</w:t>
      </w:r>
      <w:r w:rsidR="00BA2E9B">
        <w:rPr>
          <w:lang w:val="en-US"/>
        </w:rPr>
        <w:t xml:space="preserve"> outside the PAL protection area</w:t>
      </w:r>
    </w:p>
    <w:p w14:paraId="5753C7A3" w14:textId="65A9A188" w:rsidR="007D5920" w:rsidRPr="00933A8E" w:rsidRDefault="00F33E0D" w:rsidP="00933A8E">
      <w:pPr>
        <w:pStyle w:val="ListParagraph"/>
        <w:numPr>
          <w:ilvl w:val="0"/>
          <w:numId w:val="40"/>
        </w:numPr>
        <w:rPr>
          <w:lang w:val="en-US"/>
        </w:rPr>
      </w:pPr>
      <w:r w:rsidRPr="00933A8E">
        <w:rPr>
          <w:lang w:val="en-US"/>
        </w:rPr>
        <w:t xml:space="preserve">In order to protect PAL, other PAL or GAA </w:t>
      </w:r>
      <w:r w:rsidR="00933A8E">
        <w:rPr>
          <w:lang w:val="en-US"/>
        </w:rPr>
        <w:t>Citizens Broadband Service Devices (</w:t>
      </w:r>
      <w:r w:rsidRPr="00933A8E">
        <w:rPr>
          <w:lang w:val="en-US"/>
        </w:rPr>
        <w:t>CBSDs</w:t>
      </w:r>
      <w:r w:rsidR="00933A8E">
        <w:rPr>
          <w:lang w:val="en-US"/>
        </w:rPr>
        <w:t>)</w:t>
      </w:r>
      <w:r w:rsidRPr="00933A8E">
        <w:rPr>
          <w:lang w:val="en-US"/>
        </w:rPr>
        <w:t xml:space="preserve"> </w:t>
      </w:r>
      <w:r w:rsidR="00933A8E">
        <w:rPr>
          <w:lang w:val="en-US"/>
        </w:rPr>
        <w:t xml:space="preserve">are not authorized </w:t>
      </w:r>
      <w:r w:rsidRPr="00933A8E">
        <w:rPr>
          <w:lang w:val="en-US"/>
        </w:rPr>
        <w:t>on the same channel in geographical areas and at maximum power levels that will cause aggregate interference in excess of -80 dBm/</w:t>
      </w:r>
      <w:r w:rsidR="00D74635">
        <w:rPr>
          <w:lang w:val="en-US"/>
        </w:rPr>
        <w:t xml:space="preserve">10 </w:t>
      </w:r>
      <w:r w:rsidRPr="00933A8E">
        <w:rPr>
          <w:lang w:val="en-US"/>
        </w:rPr>
        <w:t>MHz within a PAL protection area</w:t>
      </w:r>
      <w:r w:rsidR="00A42EA1">
        <w:rPr>
          <w:lang w:val="en-US"/>
        </w:rPr>
        <w:t xml:space="preserve"> </w:t>
      </w:r>
      <w:r w:rsidR="00A42EA1">
        <w:t>(47 C.F.R. § 96.41(d))</w:t>
      </w:r>
    </w:p>
    <w:p w14:paraId="6A51C459" w14:textId="167CD445" w:rsidR="00BA2E9B" w:rsidRDefault="00A42EA1" w:rsidP="00BA2E9B">
      <w:pPr>
        <w:pStyle w:val="ListParagraph"/>
        <w:numPr>
          <w:ilvl w:val="0"/>
          <w:numId w:val="40"/>
        </w:numPr>
      </w:pPr>
      <w:r>
        <w:t xml:space="preserve">Frequencies available for </w:t>
      </w:r>
      <w:r w:rsidR="002B6F08">
        <w:t xml:space="preserve">GAA </w:t>
      </w:r>
      <w:r>
        <w:t xml:space="preserve">must be made available on a shared basis (47 C.F.R. § 96.35(e)).  GAA </w:t>
      </w:r>
      <w:r w:rsidR="002B6F08">
        <w:t>users must be subjected to e</w:t>
      </w:r>
      <w:r w:rsidR="00E24C63">
        <w:t xml:space="preserve">fficient, </w:t>
      </w:r>
      <w:r w:rsidR="00BB7D2F">
        <w:t xml:space="preserve">non-discriminatory co-existence </w:t>
      </w:r>
      <w:r w:rsidR="002B6F08">
        <w:t>and sharing</w:t>
      </w:r>
      <w:r w:rsidR="00E24C63">
        <w:t xml:space="preserve"> (47 C.F.R. § 96.63(h))</w:t>
      </w:r>
    </w:p>
    <w:p w14:paraId="5A3EBA4B" w14:textId="357585A4" w:rsidR="007D5920" w:rsidRPr="00304E4A" w:rsidRDefault="00F33E0D" w:rsidP="00091DFF">
      <w:pPr>
        <w:pStyle w:val="ListParagraph"/>
        <w:numPr>
          <w:ilvl w:val="0"/>
          <w:numId w:val="40"/>
        </w:numPr>
        <w:rPr>
          <w:lang w:val="en-US"/>
        </w:rPr>
      </w:pPr>
      <w:r w:rsidRPr="00091DFF">
        <w:rPr>
          <w:lang w:val="en-US"/>
        </w:rPr>
        <w:t>CBSDs must be able</w:t>
      </w:r>
      <w:r w:rsidR="006054A9">
        <w:rPr>
          <w:lang w:val="en-US"/>
        </w:rPr>
        <w:t xml:space="preserve"> to measure and report on received signal and interference levels </w:t>
      </w:r>
      <w:r w:rsidR="006054A9">
        <w:t>(47 C.F.R. § 96.39(d))</w:t>
      </w:r>
    </w:p>
    <w:p w14:paraId="3046F93A" w14:textId="3FEDFBFE" w:rsidR="00304E4A" w:rsidRPr="00304E4A" w:rsidRDefault="00304E4A" w:rsidP="00304E4A">
      <w:pPr>
        <w:pStyle w:val="ListParagraph"/>
        <w:numPr>
          <w:ilvl w:val="0"/>
          <w:numId w:val="40"/>
        </w:numPr>
        <w:rPr>
          <w:lang w:val="en-US"/>
        </w:rPr>
      </w:pPr>
      <w:r w:rsidRPr="00304E4A">
        <w:rPr>
          <w:rFonts w:ascii="TimesNewRoman" w:hAnsi="TimesNewRoman" w:cs="TimesNewRoman"/>
        </w:rPr>
        <w:t xml:space="preserve">UEs with power level greater than 23 dBm EIRP </w:t>
      </w:r>
      <w:r>
        <w:rPr>
          <w:rFonts w:ascii="TimesNewRoman" w:hAnsi="TimesNewRoman" w:cs="TimesNewRoman"/>
        </w:rPr>
        <w:t xml:space="preserve">would </w:t>
      </w:r>
      <w:r w:rsidRPr="00304E4A">
        <w:rPr>
          <w:rFonts w:ascii="TimesNewRoman" w:hAnsi="TimesNewRoman" w:cs="TimesNewRoman"/>
        </w:rPr>
        <w:t>have to be treated as CBSD and subject</w:t>
      </w:r>
      <w:r>
        <w:rPr>
          <w:rFonts w:ascii="TimesNewRoman" w:hAnsi="TimesNewRoman" w:cs="TimesNewRoman"/>
        </w:rPr>
        <w:t>ed</w:t>
      </w:r>
      <w:r w:rsidRPr="00304E4A">
        <w:rPr>
          <w:rFonts w:ascii="TimesNewRoman" w:hAnsi="TimesNewRoman" w:cs="TimesNewRoman"/>
        </w:rPr>
        <w:t xml:space="preserve"> to all CBSD requirements such as location repor</w:t>
      </w:r>
      <w:r w:rsidR="00E65112">
        <w:rPr>
          <w:rFonts w:ascii="TimesNewRoman" w:hAnsi="TimesNewRoman" w:cs="TimesNewRoman"/>
        </w:rPr>
        <w:t xml:space="preserve">ting, interference measurements and direct interaction with SAS </w:t>
      </w:r>
      <w:r w:rsidR="00E65112">
        <w:t>(47 C.F.R. § 96.47(b))</w:t>
      </w:r>
    </w:p>
    <w:p w14:paraId="2218ECB7" w14:textId="77777777" w:rsidR="00986381" w:rsidRPr="00986381" w:rsidRDefault="00986381" w:rsidP="00986381"/>
    <w:p w14:paraId="310E5DA8" w14:textId="168899C5" w:rsidR="004A3E83" w:rsidRPr="00341591" w:rsidRDefault="007022EC" w:rsidP="007022EC">
      <w:pPr>
        <w:pStyle w:val="Heading2"/>
        <w:ind w:left="0" w:firstLine="0"/>
        <w:rPr>
          <w:color w:val="000000"/>
        </w:rPr>
      </w:pPr>
      <w:r>
        <w:t xml:space="preserve">3 </w:t>
      </w:r>
      <w:r>
        <w:tab/>
      </w:r>
      <w:r>
        <w:tab/>
      </w:r>
      <w:r>
        <w:tab/>
      </w:r>
      <w:r>
        <w:tab/>
      </w:r>
      <w:r w:rsidR="000E3141">
        <w:t xml:space="preserve">Potential Standardization </w:t>
      </w:r>
      <w:r w:rsidR="00986381">
        <w:rPr>
          <w:color w:val="000000"/>
        </w:rPr>
        <w:t>Issues</w:t>
      </w:r>
    </w:p>
    <w:p w14:paraId="6D42C0A7" w14:textId="77777777" w:rsidR="00CC00A8" w:rsidRDefault="00CC00A8" w:rsidP="00ED24E8">
      <w:pPr>
        <w:pStyle w:val="MediumGrid21"/>
      </w:pPr>
    </w:p>
    <w:p w14:paraId="49184D69" w14:textId="77777777" w:rsidR="00CC00A8" w:rsidRDefault="00CC00A8" w:rsidP="00ED24E8">
      <w:pPr>
        <w:pStyle w:val="MediumGrid21"/>
      </w:pPr>
      <w:r>
        <w:t xml:space="preserve">In this section, some issues regarding the standardization of the band are observed given the requirements discussed in the previous section.  </w:t>
      </w:r>
    </w:p>
    <w:p w14:paraId="7DB98785" w14:textId="77777777" w:rsidR="00CC00A8" w:rsidRDefault="00CC00A8" w:rsidP="00ED24E8">
      <w:pPr>
        <w:pStyle w:val="MediumGrid21"/>
      </w:pPr>
    </w:p>
    <w:p w14:paraId="0F2BCF6D" w14:textId="6A165C36" w:rsidR="00260844" w:rsidRPr="008703B1" w:rsidRDefault="00CC00A8" w:rsidP="00ED24E8">
      <w:pPr>
        <w:pStyle w:val="MediumGrid21"/>
        <w:rPr>
          <w:b/>
        </w:rPr>
      </w:pPr>
      <w:r w:rsidRPr="008703B1">
        <w:rPr>
          <w:b/>
        </w:rPr>
        <w:t>Observation #1:  The s</w:t>
      </w:r>
      <w:r w:rsidR="00986381" w:rsidRPr="008703B1">
        <w:rPr>
          <w:b/>
        </w:rPr>
        <w:t xml:space="preserve">ame </w:t>
      </w:r>
      <w:r w:rsidR="009B4349">
        <w:rPr>
          <w:b/>
        </w:rPr>
        <w:t xml:space="preserve">LTE </w:t>
      </w:r>
      <w:r w:rsidR="00986381" w:rsidRPr="008703B1">
        <w:rPr>
          <w:b/>
        </w:rPr>
        <w:t xml:space="preserve">technology </w:t>
      </w:r>
      <w:r w:rsidR="00A53A5A">
        <w:rPr>
          <w:b/>
        </w:rPr>
        <w:t>may not be</w:t>
      </w:r>
      <w:r w:rsidR="00986381" w:rsidRPr="008703B1">
        <w:rPr>
          <w:b/>
        </w:rPr>
        <w:t xml:space="preserve"> </w:t>
      </w:r>
      <w:r w:rsidR="00A53A5A">
        <w:rPr>
          <w:b/>
        </w:rPr>
        <w:t>suitable</w:t>
      </w:r>
      <w:r w:rsidR="00986381" w:rsidRPr="008703B1">
        <w:rPr>
          <w:b/>
        </w:rPr>
        <w:t xml:space="preserve"> for </w:t>
      </w:r>
      <w:r w:rsidR="00A53A5A">
        <w:rPr>
          <w:b/>
        </w:rPr>
        <w:t xml:space="preserve">both </w:t>
      </w:r>
      <w:r w:rsidRPr="008703B1">
        <w:rPr>
          <w:b/>
        </w:rPr>
        <w:t>PAL and GAA</w:t>
      </w:r>
    </w:p>
    <w:p w14:paraId="7D57A370" w14:textId="77777777" w:rsidR="00A93AEF" w:rsidRDefault="00A93AEF" w:rsidP="00ED24E8">
      <w:pPr>
        <w:pStyle w:val="MediumGrid21"/>
      </w:pPr>
    </w:p>
    <w:p w14:paraId="296B072D" w14:textId="3B903A5A" w:rsidR="00B02EB9" w:rsidRDefault="00B02EB9" w:rsidP="00ED24E8">
      <w:pPr>
        <w:pStyle w:val="MediumGrid21"/>
      </w:pPr>
      <w:r>
        <w:t xml:space="preserve">In terms of </w:t>
      </w:r>
      <w:r w:rsidR="00584571">
        <w:t>access</w:t>
      </w:r>
      <w:r>
        <w:t>, PAL is similar to traditional licensed access whereas GAA has more similarities with unlicensed access</w:t>
      </w:r>
      <w:r w:rsidR="009B4349">
        <w:t xml:space="preserve"> as </w:t>
      </w:r>
      <w:r w:rsidR="00507FC9">
        <w:t>a GAA CBSD</w:t>
      </w:r>
      <w:r w:rsidR="009B4349">
        <w:t xml:space="preserve"> is expected to share spectrum with other GAA </w:t>
      </w:r>
      <w:r w:rsidR="00507FC9">
        <w:t>CBSDs</w:t>
      </w:r>
      <w:r w:rsidR="009B4349">
        <w:t xml:space="preserve"> with no protection expectations</w:t>
      </w:r>
      <w:r>
        <w:t>.  The rules do no</w:t>
      </w:r>
      <w:r w:rsidR="008703B1">
        <w:t xml:space="preserve">t require sharing among PAL licensees, but sharing is a fundamental aspect and key differentiator of GAA.  3GPP currently specifies </w:t>
      </w:r>
      <w:r w:rsidR="00855903">
        <w:t>separate</w:t>
      </w:r>
      <w:r w:rsidR="008703B1">
        <w:t xml:space="preserve"> requirements for </w:t>
      </w:r>
      <w:r w:rsidR="00855903">
        <w:t>exclusive (</w:t>
      </w:r>
      <w:r w:rsidR="008703B1">
        <w:t>licensed</w:t>
      </w:r>
      <w:r w:rsidR="00855903">
        <w:t>)</w:t>
      </w:r>
      <w:r w:rsidR="008703B1">
        <w:t xml:space="preserve"> and </w:t>
      </w:r>
      <w:r w:rsidR="00855903">
        <w:t>shared (</w:t>
      </w:r>
      <w:r w:rsidR="008703B1">
        <w:t>unlicensed</w:t>
      </w:r>
      <w:r w:rsidR="00855903">
        <w:t>)</w:t>
      </w:r>
      <w:r w:rsidR="008703B1">
        <w:t xml:space="preserve"> </w:t>
      </w:r>
      <w:r w:rsidR="00584571">
        <w:t xml:space="preserve">access </w:t>
      </w:r>
      <w:r w:rsidR="008703B1">
        <w:t>technologies.</w:t>
      </w:r>
      <w:r w:rsidR="009B4349">
        <w:t xml:space="preserve"> </w:t>
      </w:r>
    </w:p>
    <w:p w14:paraId="170386D0" w14:textId="77777777" w:rsidR="00A93AEF" w:rsidRDefault="00A93AEF" w:rsidP="00ED24E8">
      <w:pPr>
        <w:pStyle w:val="MediumGrid21"/>
      </w:pPr>
    </w:p>
    <w:p w14:paraId="78DD9D19" w14:textId="68070C07" w:rsidR="00CC00A8" w:rsidRPr="008703B1" w:rsidRDefault="00CC00A8" w:rsidP="00ED24E8">
      <w:pPr>
        <w:pStyle w:val="MediumGrid21"/>
        <w:rPr>
          <w:b/>
        </w:rPr>
      </w:pPr>
      <w:r w:rsidRPr="008703B1">
        <w:rPr>
          <w:b/>
        </w:rPr>
        <w:t>Observation #2:  It is unclear whether GAA can be implemented with the current 3GPP technologies</w:t>
      </w:r>
    </w:p>
    <w:p w14:paraId="650F544E" w14:textId="77777777" w:rsidR="00CC00A8" w:rsidRDefault="00CC00A8" w:rsidP="00ED24E8">
      <w:pPr>
        <w:pStyle w:val="MediumGrid21"/>
      </w:pPr>
    </w:p>
    <w:p w14:paraId="262603A3" w14:textId="4B8DF6FA" w:rsidR="00A93AEF" w:rsidRPr="0052420B" w:rsidRDefault="00037A9D" w:rsidP="00ED24E8">
      <w:pPr>
        <w:pStyle w:val="MediumGrid21"/>
        <w:rPr>
          <w:lang w:val="en-US"/>
        </w:rPr>
      </w:pPr>
      <w:r>
        <w:rPr>
          <w:lang w:val="en-US"/>
        </w:rPr>
        <w:t xml:space="preserve">Because the WI specifically precludes considering standalone unlicensed LTE in the band, </w:t>
      </w:r>
      <w:r w:rsidR="000E0946">
        <w:t>3GPP licensed assisted a</w:t>
      </w:r>
      <w:r w:rsidR="00E82002">
        <w:t xml:space="preserve">ccess (LAA) </w:t>
      </w:r>
      <w:r w:rsidR="0052420B">
        <w:t xml:space="preserve">may be </w:t>
      </w:r>
      <w:r w:rsidR="00E1693A">
        <w:t xml:space="preserve">the </w:t>
      </w:r>
      <w:r w:rsidR="0052420B">
        <w:t>only</w:t>
      </w:r>
      <w:r w:rsidR="00E82002">
        <w:t xml:space="preserve"> </w:t>
      </w:r>
      <w:r w:rsidR="0052420B">
        <w:t xml:space="preserve">applicable </w:t>
      </w:r>
      <w:r w:rsidR="00E1693A">
        <w:t xml:space="preserve">current </w:t>
      </w:r>
      <w:r w:rsidR="0052420B">
        <w:t xml:space="preserve">3GPP technology </w:t>
      </w:r>
      <w:r w:rsidR="00E82002">
        <w:t xml:space="preserve">for </w:t>
      </w:r>
      <w:r w:rsidR="00A53A5A">
        <w:t>meeti</w:t>
      </w:r>
      <w:r w:rsidR="00522BD0">
        <w:t>ng the GAA sharing requirement, and i</w:t>
      </w:r>
      <w:r w:rsidR="00A53A5A">
        <w:t xml:space="preserve">t is noted that </w:t>
      </w:r>
      <w:r w:rsidR="00E82002">
        <w:t>the FCC rules do not restrict us</w:t>
      </w:r>
      <w:r w:rsidR="00A72962">
        <w:t xml:space="preserve">ing </w:t>
      </w:r>
      <w:r w:rsidR="00E82002">
        <w:t xml:space="preserve">the band in a supplementary mode.  </w:t>
      </w:r>
      <w:r w:rsidR="00A72962">
        <w:t>However</w:t>
      </w:r>
      <w:r w:rsidR="00E82002">
        <w:t xml:space="preserve">, </w:t>
      </w:r>
      <w:r w:rsidR="00642E4D">
        <w:t>exact mechanisms to allow</w:t>
      </w:r>
      <w:r w:rsidR="00E82002">
        <w:t xml:space="preserve"> fair sharing and contention resolution among GAA users </w:t>
      </w:r>
      <w:r w:rsidR="00642E4D">
        <w:t>are</w:t>
      </w:r>
      <w:r w:rsidR="004B23B4">
        <w:t xml:space="preserve"> still </w:t>
      </w:r>
      <w:r w:rsidR="00584571">
        <w:t>“</w:t>
      </w:r>
      <w:r w:rsidR="004B23B4">
        <w:t>to-be-determined</w:t>
      </w:r>
      <w:r w:rsidR="00584571">
        <w:t>”</w:t>
      </w:r>
      <w:r w:rsidR="004B23B4">
        <w:t xml:space="preserve"> and one cannot make a determination of </w:t>
      </w:r>
      <w:r w:rsidR="00584571">
        <w:t xml:space="preserve">a </w:t>
      </w:r>
      <w:r w:rsidR="004B23B4">
        <w:t xml:space="preserve">particular technology’s suitability to implement GAA until such details are available.  Sharing and </w:t>
      </w:r>
      <w:r w:rsidR="004B23B4">
        <w:lastRenderedPageBreak/>
        <w:t xml:space="preserve">contention resolution </w:t>
      </w:r>
      <w:r w:rsidR="00642E4D">
        <w:t xml:space="preserve">details </w:t>
      </w:r>
      <w:r w:rsidR="004B23B4">
        <w:t xml:space="preserve">become even more crucial when considering </w:t>
      </w:r>
      <w:r w:rsidR="00642E4D">
        <w:t xml:space="preserve">the fact that </w:t>
      </w:r>
      <w:r w:rsidR="004B23B4">
        <w:t xml:space="preserve">there could be </w:t>
      </w:r>
      <w:r w:rsidR="00E1693A">
        <w:t>non-3GPP</w:t>
      </w:r>
      <w:r w:rsidR="004B23B4">
        <w:t xml:space="preserve"> technologies like LTE-U</w:t>
      </w:r>
      <w:r w:rsidR="00E67ECE">
        <w:t>, MuLTE</w:t>
      </w:r>
      <w:r w:rsidR="00584571">
        <w:t>Fire</w:t>
      </w:r>
      <w:r w:rsidR="004B23B4">
        <w:t xml:space="preserve"> and Wi-Fi </w:t>
      </w:r>
      <w:r w:rsidR="00A72962">
        <w:t>populating the</w:t>
      </w:r>
      <w:r w:rsidR="00584571">
        <w:t xml:space="preserve"> band</w:t>
      </w:r>
      <w:r w:rsidR="004B23B4">
        <w:t>.</w:t>
      </w:r>
      <w:r w:rsidR="004E3289">
        <w:t xml:space="preserve">  </w:t>
      </w:r>
    </w:p>
    <w:p w14:paraId="189A40C8" w14:textId="77777777" w:rsidR="00B02EB9" w:rsidRDefault="00B02EB9" w:rsidP="00ED24E8">
      <w:pPr>
        <w:pStyle w:val="MediumGrid21"/>
      </w:pPr>
    </w:p>
    <w:p w14:paraId="6EAEB8B2" w14:textId="599C1641" w:rsidR="00CC00A8" w:rsidRPr="000E0946" w:rsidRDefault="00CC00A8" w:rsidP="00ED24E8">
      <w:pPr>
        <w:pStyle w:val="MediumGrid21"/>
        <w:rPr>
          <w:b/>
        </w:rPr>
      </w:pPr>
      <w:r w:rsidRPr="000E0946">
        <w:rPr>
          <w:b/>
        </w:rPr>
        <w:t>Observation #3:  PAL may be i</w:t>
      </w:r>
      <w:r w:rsidR="005B27AD">
        <w:rPr>
          <w:b/>
        </w:rPr>
        <w:t>mplemented with the standard TD-</w:t>
      </w:r>
      <w:r w:rsidRPr="000E0946">
        <w:rPr>
          <w:b/>
        </w:rPr>
        <w:t>LTE (licensed).  However, new requirements may be needed.</w:t>
      </w:r>
    </w:p>
    <w:p w14:paraId="0C4D2EBD" w14:textId="77777777" w:rsidR="00CC00A8" w:rsidRDefault="00CC00A8" w:rsidP="00ED24E8">
      <w:pPr>
        <w:pStyle w:val="MediumGrid21"/>
      </w:pPr>
    </w:p>
    <w:p w14:paraId="4EFE7D6B" w14:textId="7388AACF" w:rsidR="005A0343" w:rsidRDefault="00357DF2" w:rsidP="00ED24E8">
      <w:pPr>
        <w:pStyle w:val="MediumGrid21"/>
      </w:pPr>
      <w:r>
        <w:t>Within its PAL protection area, PAL may be implemen</w:t>
      </w:r>
      <w:r w:rsidR="005B27AD">
        <w:t>ted using standard licensed TD-</w:t>
      </w:r>
      <w:r>
        <w:t>LTE.  But, the rule also requires that PAL users</w:t>
      </w:r>
      <w:r w:rsidR="009E0CA8">
        <w:t xml:space="preserve"> (end user devices)</w:t>
      </w:r>
      <w:r>
        <w:t xml:space="preserve"> be treated like GAA users outside the protection area.  This suggests technologies implementing PAL need to support some, if not all, aspects of GAA.  </w:t>
      </w:r>
    </w:p>
    <w:p w14:paraId="5D0DC740" w14:textId="77777777" w:rsidR="0025026A" w:rsidRDefault="0025026A" w:rsidP="00ED24E8">
      <w:pPr>
        <w:pStyle w:val="MediumGrid21"/>
      </w:pPr>
    </w:p>
    <w:p w14:paraId="74A1CC6C" w14:textId="2EC710D4" w:rsidR="0025026A" w:rsidRDefault="0025026A" w:rsidP="00ED24E8">
      <w:pPr>
        <w:pStyle w:val="MediumGrid21"/>
      </w:pPr>
      <w:r>
        <w:t xml:space="preserve">Also, the FCC imposed specific reception limits (adjacent and in-band blocking) and out of band emissions which need to be part of the core requirements specified in 3GPP.  These FCC requirements are in excess of current 3GPP requirements and may require tighter RX performance and tighter TX requirements or require power back-off or NS spectrum/power shaping particularly for wide channel bandwidth or band </w:t>
      </w:r>
      <w:r w:rsidR="00D85DFF">
        <w:t xml:space="preserve">edge </w:t>
      </w:r>
      <w:r>
        <w:t>operation.</w:t>
      </w:r>
    </w:p>
    <w:p w14:paraId="1B66591C" w14:textId="77777777" w:rsidR="00A93AEF" w:rsidRDefault="00A93AEF" w:rsidP="00ED24E8">
      <w:pPr>
        <w:pStyle w:val="MediumGrid21"/>
      </w:pPr>
    </w:p>
    <w:p w14:paraId="07CDC0F9" w14:textId="2597045C" w:rsidR="00CC00A8" w:rsidRPr="000E0946" w:rsidRDefault="00CC00A8" w:rsidP="00ED24E8">
      <w:pPr>
        <w:pStyle w:val="MediumGrid21"/>
        <w:rPr>
          <w:b/>
        </w:rPr>
      </w:pPr>
      <w:r w:rsidRPr="000E0946">
        <w:rPr>
          <w:b/>
        </w:rPr>
        <w:t xml:space="preserve">Observation #4:  </w:t>
      </w:r>
      <w:r w:rsidR="00A93AEF" w:rsidRPr="000E0946">
        <w:rPr>
          <w:b/>
        </w:rPr>
        <w:t xml:space="preserve">Given the rules, adjacent channel deployments between PAL and GAA in the same geographical area </w:t>
      </w:r>
      <w:r w:rsidR="000E0946">
        <w:rPr>
          <w:b/>
        </w:rPr>
        <w:t>would be prevalent</w:t>
      </w:r>
    </w:p>
    <w:p w14:paraId="5713D909" w14:textId="77777777" w:rsidR="00CC00A8" w:rsidRPr="00A825E0" w:rsidRDefault="00CC00A8" w:rsidP="00ED24E8">
      <w:pPr>
        <w:pStyle w:val="MediumGrid21"/>
      </w:pPr>
    </w:p>
    <w:p w14:paraId="58F980B7" w14:textId="7ECC8231" w:rsidR="005A12DC" w:rsidRDefault="00571DF3" w:rsidP="005A12DC">
      <w:pPr>
        <w:pStyle w:val="MediumGrid21"/>
        <w:rPr>
          <w:lang w:val="en-US"/>
        </w:rPr>
      </w:pPr>
      <w:r>
        <w:rPr>
          <w:lang w:val="en-US"/>
        </w:rPr>
        <w:t xml:space="preserve">Adjacent channel deployments </w:t>
      </w:r>
      <w:r w:rsidR="00E536AE">
        <w:rPr>
          <w:lang w:val="en-US"/>
        </w:rPr>
        <w:t xml:space="preserve">of </w:t>
      </w:r>
      <w:r w:rsidR="00477183">
        <w:rPr>
          <w:lang w:val="en-US"/>
        </w:rPr>
        <w:t>exclusive</w:t>
      </w:r>
      <w:r>
        <w:rPr>
          <w:lang w:val="en-US"/>
        </w:rPr>
        <w:t xml:space="preserve"> and </w:t>
      </w:r>
      <w:r w:rsidR="00477183">
        <w:rPr>
          <w:lang w:val="en-US"/>
        </w:rPr>
        <w:t>shared</w:t>
      </w:r>
      <w:r>
        <w:rPr>
          <w:lang w:val="en-US"/>
        </w:rPr>
        <w:t xml:space="preserve"> access are a new scenario which needs </w:t>
      </w:r>
      <w:r w:rsidR="00477183">
        <w:rPr>
          <w:lang w:val="en-US"/>
        </w:rPr>
        <w:t xml:space="preserve">to be studied in the new band.  </w:t>
      </w:r>
      <w:r w:rsidR="00A664AE">
        <w:rPr>
          <w:lang w:val="en-US"/>
        </w:rPr>
        <w:t>Since the proposed band plan is TDD, one solution is to assume synchronization across PAL and GAA.  However, it needs to be further studied whether such an assumption i</w:t>
      </w:r>
      <w:r w:rsidR="00667FF2">
        <w:rPr>
          <w:lang w:val="en-US"/>
        </w:rPr>
        <w:t>s valid and/or even practical</w:t>
      </w:r>
      <w:r w:rsidR="005A12DC" w:rsidRPr="005A12DC">
        <w:rPr>
          <w:lang w:val="en-US"/>
        </w:rPr>
        <w:t>.</w:t>
      </w:r>
    </w:p>
    <w:p w14:paraId="31B90A9B" w14:textId="77777777" w:rsidR="00667FF2" w:rsidRDefault="00667FF2" w:rsidP="005A12DC">
      <w:pPr>
        <w:pStyle w:val="MediumGrid21"/>
        <w:rPr>
          <w:lang w:val="en-US"/>
        </w:rPr>
      </w:pPr>
    </w:p>
    <w:p w14:paraId="7BDFC756" w14:textId="32AF03D2" w:rsidR="000D2A3B" w:rsidRPr="00E1693A" w:rsidRDefault="00667FF2" w:rsidP="005A12DC">
      <w:pPr>
        <w:pStyle w:val="MediumGrid21"/>
        <w:rPr>
          <w:b/>
          <w:lang w:val="en-US"/>
        </w:rPr>
      </w:pPr>
      <w:r w:rsidRPr="00E1693A">
        <w:rPr>
          <w:b/>
          <w:lang w:val="en-US"/>
        </w:rPr>
        <w:t>Observation #5</w:t>
      </w:r>
      <w:r w:rsidR="000D2A3B" w:rsidRPr="00E1693A">
        <w:rPr>
          <w:b/>
          <w:lang w:val="en-US"/>
        </w:rPr>
        <w:t xml:space="preserve">: Uniform measurement and reporting of interference by </w:t>
      </w:r>
      <w:r w:rsidR="00E1693A" w:rsidRPr="00E1693A">
        <w:rPr>
          <w:b/>
          <w:lang w:val="en-US"/>
        </w:rPr>
        <w:t>CBSDs</w:t>
      </w:r>
    </w:p>
    <w:p w14:paraId="170B4081" w14:textId="77777777" w:rsidR="00E1693A" w:rsidRPr="00E1693A" w:rsidRDefault="00E1693A" w:rsidP="005A12DC">
      <w:pPr>
        <w:pStyle w:val="MediumGrid21"/>
        <w:rPr>
          <w:b/>
          <w:lang w:val="en-US"/>
        </w:rPr>
      </w:pPr>
    </w:p>
    <w:p w14:paraId="158C076F" w14:textId="46B0B5E2" w:rsidR="00477183" w:rsidRDefault="000D2A3B" w:rsidP="00477183">
      <w:pPr>
        <w:spacing w:after="0"/>
        <w:jc w:val="both"/>
        <w:rPr>
          <w:rFonts w:ascii="TimesNewRoman" w:hAnsi="TimesNewRoman" w:cs="TimesNewRoman"/>
        </w:rPr>
      </w:pPr>
      <w:r w:rsidRPr="00E1693A">
        <w:rPr>
          <w:rFonts w:ascii="TimesNewRoman" w:hAnsi="TimesNewRoman" w:cs="TimesNewRoman"/>
        </w:rPr>
        <w:t xml:space="preserve">The </w:t>
      </w:r>
      <w:r w:rsidR="001D23DF">
        <w:rPr>
          <w:rFonts w:ascii="TimesNewRoman" w:hAnsi="TimesNewRoman" w:cs="TimesNewRoman"/>
        </w:rPr>
        <w:t>rules require</w:t>
      </w:r>
      <w:r w:rsidRPr="00E1693A">
        <w:rPr>
          <w:rFonts w:ascii="TimesNewRoman" w:hAnsi="TimesNewRoman" w:cs="TimesNewRoman"/>
        </w:rPr>
        <w:t xml:space="preserve"> CBSDs to be able to measure and report on their local interference levels and </w:t>
      </w:r>
      <w:r w:rsidR="00477183">
        <w:rPr>
          <w:rFonts w:ascii="TimesNewRoman" w:hAnsi="TimesNewRoman" w:cs="TimesNewRoman"/>
        </w:rPr>
        <w:t xml:space="preserve">the FCC </w:t>
      </w:r>
      <w:r w:rsidRPr="00E1693A">
        <w:rPr>
          <w:rFonts w:ascii="TimesNewRoman" w:hAnsi="TimesNewRoman" w:cs="TimesNewRoman"/>
        </w:rPr>
        <w:t xml:space="preserve">has encouraged industry stakeholders, such as 3GPP, to develop detailed metrics regarding issues like received signal strength, packet error rate, and technology specific parameters of signal and interference metrics. It will be beneficial if </w:t>
      </w:r>
      <w:r w:rsidR="00477183">
        <w:rPr>
          <w:rFonts w:ascii="TimesNewRoman" w:hAnsi="TimesNewRoman" w:cs="TimesNewRoman"/>
        </w:rPr>
        <w:t xml:space="preserve">3GPP </w:t>
      </w:r>
      <w:r w:rsidR="00477183" w:rsidRPr="00E1693A">
        <w:rPr>
          <w:rFonts w:ascii="TimesNewRoman" w:hAnsi="TimesNewRoman" w:cs="TimesNewRoman"/>
        </w:rPr>
        <w:t>defines the above metrics methodology for uniform implementation</w:t>
      </w:r>
      <w:r w:rsidR="00477183">
        <w:rPr>
          <w:rFonts w:ascii="TimesNewRoman" w:hAnsi="TimesNewRoman" w:cs="TimesNewRoman"/>
        </w:rPr>
        <w:t xml:space="preserve"> to ensure compatibil</w:t>
      </w:r>
      <w:r w:rsidR="001D23DF">
        <w:rPr>
          <w:rFonts w:ascii="TimesNewRoman" w:hAnsi="TimesNewRoman" w:cs="TimesNewRoman"/>
        </w:rPr>
        <w:t>ity among multiple SAS entities and access technologies.</w:t>
      </w:r>
    </w:p>
    <w:p w14:paraId="6260A5E9" w14:textId="0B27EBC1" w:rsidR="005F7ACF" w:rsidRDefault="005F7ACF" w:rsidP="000D2A3B">
      <w:pPr>
        <w:spacing w:after="0"/>
        <w:rPr>
          <w:rFonts w:ascii="TimesNewRoman" w:hAnsi="TimesNewRoman" w:cs="TimesNewRoman"/>
        </w:rPr>
      </w:pPr>
    </w:p>
    <w:p w14:paraId="074BFD03" w14:textId="7E5396DB" w:rsidR="005F7ACF" w:rsidRPr="00FF719E" w:rsidRDefault="00FF719E" w:rsidP="005F7ACF">
      <w:pPr>
        <w:spacing w:after="0"/>
        <w:rPr>
          <w:rFonts w:ascii="TimesNewRoman" w:hAnsi="TimesNewRoman" w:cs="TimesNewRoman"/>
          <w:b/>
        </w:rPr>
      </w:pPr>
      <w:r>
        <w:rPr>
          <w:rFonts w:ascii="TimesNewRoman" w:hAnsi="TimesNewRoman" w:cs="TimesNewRoman"/>
          <w:b/>
        </w:rPr>
        <w:t>Observation #6</w:t>
      </w:r>
      <w:r w:rsidR="005F7ACF" w:rsidRPr="00FF719E">
        <w:rPr>
          <w:rFonts w:ascii="TimesNewRoman" w:hAnsi="TimesNewRoman" w:cs="TimesNewRoman"/>
          <w:b/>
        </w:rPr>
        <w:t xml:space="preserve">:  SAS may assign channels that </w:t>
      </w:r>
      <w:r>
        <w:rPr>
          <w:rFonts w:ascii="TimesNewRoman" w:hAnsi="TimesNewRoman" w:cs="TimesNewRoman"/>
          <w:b/>
        </w:rPr>
        <w:t xml:space="preserve">do not </w:t>
      </w:r>
      <w:r w:rsidR="005F7ACF" w:rsidRPr="00FF719E">
        <w:rPr>
          <w:rFonts w:ascii="TimesNewRoman" w:hAnsi="TimesNewRoman" w:cs="TimesNewRoman"/>
          <w:b/>
        </w:rPr>
        <w:t>align with EUTRA channel raster</w:t>
      </w:r>
    </w:p>
    <w:p w14:paraId="09360AD9" w14:textId="77777777" w:rsidR="005F7ACF" w:rsidRPr="005F7ACF" w:rsidRDefault="005F7ACF" w:rsidP="005F7ACF">
      <w:pPr>
        <w:spacing w:after="0"/>
        <w:rPr>
          <w:rFonts w:ascii="TimesNewRoman" w:hAnsi="TimesNewRoman" w:cs="TimesNewRoman"/>
        </w:rPr>
      </w:pPr>
    </w:p>
    <w:p w14:paraId="30C9CA17" w14:textId="7DA6ABF2" w:rsidR="005F7ACF" w:rsidRDefault="00FF719E" w:rsidP="005F7ACF">
      <w:pPr>
        <w:spacing w:after="0"/>
        <w:rPr>
          <w:rFonts w:ascii="TimesNewRoman" w:hAnsi="TimesNewRoman" w:cs="TimesNewRoman"/>
        </w:rPr>
      </w:pPr>
      <w:r>
        <w:rPr>
          <w:rFonts w:ascii="TimesNewRoman" w:hAnsi="TimesNewRoman" w:cs="TimesNewRoman"/>
        </w:rPr>
        <w:t xml:space="preserve">The </w:t>
      </w:r>
      <w:r w:rsidR="005F7ACF" w:rsidRPr="005F7ACF">
        <w:rPr>
          <w:rFonts w:ascii="TimesNewRoman" w:hAnsi="TimesNewRoman" w:cs="TimesNewRoman"/>
        </w:rPr>
        <w:t xml:space="preserve">SAS is to be designed for automated channel assignment which will simply involve instructions to the CBSDs to use a specific channel, at a specific place and time, within </w:t>
      </w:r>
      <w:r>
        <w:rPr>
          <w:rFonts w:ascii="TimesNewRoman" w:hAnsi="TimesNewRoman" w:cs="TimesNewRoman"/>
        </w:rPr>
        <w:t xml:space="preserve">the </w:t>
      </w:r>
      <w:r w:rsidRPr="005F7ACF">
        <w:rPr>
          <w:rFonts w:ascii="TimesNewRoman" w:hAnsi="TimesNewRoman" w:cs="TimesNewRoman"/>
        </w:rPr>
        <w:t>3550-3700 MHz</w:t>
      </w:r>
      <w:r>
        <w:rPr>
          <w:rFonts w:ascii="TimesNewRoman" w:hAnsi="TimesNewRoman" w:cs="TimesNewRoman"/>
        </w:rPr>
        <w:t xml:space="preserve"> tuning range</w:t>
      </w:r>
      <w:r w:rsidR="005F7ACF" w:rsidRPr="005F7ACF">
        <w:rPr>
          <w:rFonts w:ascii="TimesNewRoman" w:hAnsi="TimesNewRoman" w:cs="TimesNewRoman"/>
        </w:rPr>
        <w:t>. There is a possibility that the assigned channel may not follow the LTE channel raster of 100 kHz</w:t>
      </w:r>
      <w:r>
        <w:rPr>
          <w:rFonts w:ascii="TimesNewRoman" w:hAnsi="TimesNewRoman" w:cs="TimesNewRoman"/>
        </w:rPr>
        <w:t xml:space="preserve">; i.e. the center </w:t>
      </w:r>
      <w:r w:rsidR="005F7ACF" w:rsidRPr="005F7ACF">
        <w:rPr>
          <w:rFonts w:ascii="TimesNewRoman" w:hAnsi="TimesNewRoman" w:cs="TimesNewRoman"/>
        </w:rPr>
        <w:t xml:space="preserve">frequency may not be a whole number multiple of 100 kHz as </w:t>
      </w:r>
      <w:r>
        <w:rPr>
          <w:rFonts w:ascii="TimesNewRoman" w:hAnsi="TimesNewRoman" w:cs="TimesNewRoman"/>
        </w:rPr>
        <w:t xml:space="preserve">the </w:t>
      </w:r>
      <w:r w:rsidR="005F7ACF" w:rsidRPr="005F7ACF">
        <w:rPr>
          <w:rFonts w:ascii="TimesNewRoman" w:hAnsi="TimesNewRoman" w:cs="TimesNewRoman"/>
        </w:rPr>
        <w:t xml:space="preserve">SAS </w:t>
      </w:r>
      <w:r>
        <w:rPr>
          <w:rFonts w:ascii="TimesNewRoman" w:hAnsi="TimesNewRoman" w:cs="TimesNewRoman"/>
        </w:rPr>
        <w:t>may be</w:t>
      </w:r>
      <w:r w:rsidR="005F7ACF" w:rsidRPr="005F7ACF">
        <w:rPr>
          <w:rFonts w:ascii="TimesNewRoman" w:hAnsi="TimesNewRoman" w:cs="TimesNewRoman"/>
        </w:rPr>
        <w:t xml:space="preserve"> designed to deal with not just LTE but other technologies as well.  </w:t>
      </w:r>
    </w:p>
    <w:p w14:paraId="75D02C81" w14:textId="77777777" w:rsidR="000D2A3B" w:rsidRDefault="000D2A3B" w:rsidP="005A12DC">
      <w:pPr>
        <w:pStyle w:val="MediumGrid21"/>
        <w:rPr>
          <w:lang w:val="en-US"/>
        </w:rPr>
      </w:pPr>
    </w:p>
    <w:p w14:paraId="45763629" w14:textId="2F7A10A7" w:rsidR="004C1E9B" w:rsidRPr="00341591" w:rsidRDefault="004C1E9B" w:rsidP="004C1E9B">
      <w:pPr>
        <w:pStyle w:val="Heading2"/>
        <w:ind w:left="0" w:firstLine="0"/>
        <w:rPr>
          <w:color w:val="000000"/>
        </w:rPr>
      </w:pPr>
      <w:r>
        <w:t xml:space="preserve">4 </w:t>
      </w:r>
      <w:r>
        <w:tab/>
      </w:r>
      <w:r>
        <w:tab/>
      </w:r>
      <w:r>
        <w:tab/>
      </w:r>
      <w:r>
        <w:tab/>
      </w:r>
      <w:r>
        <w:rPr>
          <w:color w:val="000000"/>
        </w:rPr>
        <w:t xml:space="preserve">Conclusions </w:t>
      </w:r>
    </w:p>
    <w:p w14:paraId="055442D5" w14:textId="6F67C978" w:rsidR="00B72233" w:rsidRDefault="005D3B82" w:rsidP="005D3B82">
      <w:pPr>
        <w:pStyle w:val="MediumGrid21"/>
        <w:jc w:val="both"/>
        <w:rPr>
          <w:lang w:val="en-US"/>
        </w:rPr>
      </w:pPr>
      <w:r>
        <w:rPr>
          <w:lang w:val="en-US"/>
        </w:rPr>
        <w:t xml:space="preserve">In this contribution, the FCC requirements </w:t>
      </w:r>
      <w:r w:rsidR="00432FDC">
        <w:rPr>
          <w:lang w:val="en-US"/>
        </w:rPr>
        <w:t xml:space="preserve">concerning the US 3.5 GHz band </w:t>
      </w:r>
      <w:r>
        <w:rPr>
          <w:lang w:val="en-US"/>
        </w:rPr>
        <w:t xml:space="preserve">are discussed and relevant issues regarding 3GPP standardization of the band are identified.  </w:t>
      </w:r>
      <w:r w:rsidR="005A5734">
        <w:rPr>
          <w:lang w:val="en-US"/>
        </w:rPr>
        <w:t>The CBRS band in the US introduces several new concepts into the 3GPP</w:t>
      </w:r>
      <w:r w:rsidR="00470997">
        <w:rPr>
          <w:lang w:val="en-US"/>
        </w:rPr>
        <w:t xml:space="preserve"> standardization process</w:t>
      </w:r>
      <w:r w:rsidR="005A5734">
        <w:rPr>
          <w:lang w:val="en-US"/>
        </w:rPr>
        <w:t xml:space="preserve">.  First, </w:t>
      </w:r>
      <w:r w:rsidR="00432FDC">
        <w:rPr>
          <w:lang w:val="en-US"/>
        </w:rPr>
        <w:t>the rules allow</w:t>
      </w:r>
      <w:r w:rsidR="005A5734">
        <w:rPr>
          <w:lang w:val="en-US"/>
        </w:rPr>
        <w:t xml:space="preserve"> both traditional exclusive licensed a</w:t>
      </w:r>
      <w:r w:rsidR="00432FDC">
        <w:rPr>
          <w:lang w:val="en-US"/>
        </w:rPr>
        <w:t>ccess and non-exclusive sharing</w:t>
      </w:r>
      <w:r w:rsidR="005A5734">
        <w:rPr>
          <w:lang w:val="en-US"/>
        </w:rPr>
        <w:t xml:space="preserve"> access</w:t>
      </w:r>
      <w:r w:rsidR="00432FDC">
        <w:rPr>
          <w:lang w:val="en-US"/>
        </w:rPr>
        <w:t xml:space="preserve"> within the band</w:t>
      </w:r>
      <w:r w:rsidR="005A5734">
        <w:rPr>
          <w:lang w:val="en-US"/>
        </w:rPr>
        <w:t>.  Secondly, the band requires a new entity, the SAS, which oversees coordination between PAL/GAA and enforces</w:t>
      </w:r>
      <w:r w:rsidR="00432FDC">
        <w:rPr>
          <w:lang w:val="en-US"/>
        </w:rPr>
        <w:t xml:space="preserve"> efficient sharing of the band.  Thirdly, </w:t>
      </w:r>
      <w:r w:rsidR="00EB2E16">
        <w:rPr>
          <w:lang w:val="en-US"/>
        </w:rPr>
        <w:t xml:space="preserve">exact requirements for sharing and co-existence are yet to be determined.  </w:t>
      </w:r>
      <w:r w:rsidR="00432FDC">
        <w:rPr>
          <w:lang w:val="en-US"/>
        </w:rPr>
        <w:t>The observations made in this contributions highlight the uniqueness</w:t>
      </w:r>
      <w:r w:rsidR="00BE1411">
        <w:rPr>
          <w:lang w:val="en-US"/>
        </w:rPr>
        <w:t xml:space="preserve"> and challenges</w:t>
      </w:r>
      <w:r w:rsidR="00432FDC">
        <w:rPr>
          <w:lang w:val="en-US"/>
        </w:rPr>
        <w:t xml:space="preserve"> </w:t>
      </w:r>
      <w:r w:rsidR="00BE1411">
        <w:rPr>
          <w:lang w:val="en-US"/>
        </w:rPr>
        <w:t>in drafting requirements for the band</w:t>
      </w:r>
      <w:r w:rsidR="00EB2E16">
        <w:rPr>
          <w:lang w:val="en-US"/>
        </w:rPr>
        <w:t xml:space="preserve"> and </w:t>
      </w:r>
      <w:r w:rsidR="00470997">
        <w:rPr>
          <w:lang w:val="en-US"/>
        </w:rPr>
        <w:t>indicate</w:t>
      </w:r>
      <w:bookmarkStart w:id="14" w:name="_GoBack"/>
      <w:bookmarkEnd w:id="14"/>
      <w:r w:rsidR="00BE1411">
        <w:rPr>
          <w:lang w:val="en-US"/>
        </w:rPr>
        <w:t xml:space="preserve"> </w:t>
      </w:r>
      <w:r w:rsidR="00EB2E16">
        <w:rPr>
          <w:lang w:val="en-US"/>
        </w:rPr>
        <w:t>the need to thoroughly vet the</w:t>
      </w:r>
      <w:r w:rsidR="00BE1411">
        <w:rPr>
          <w:lang w:val="en-US"/>
        </w:rPr>
        <w:t>se</w:t>
      </w:r>
      <w:r w:rsidR="00EB2E16">
        <w:rPr>
          <w:lang w:val="en-US"/>
        </w:rPr>
        <w:t xml:space="preserve"> requirements.</w:t>
      </w:r>
    </w:p>
    <w:p w14:paraId="79575D5F" w14:textId="77777777" w:rsidR="005A5734" w:rsidRPr="00B72233" w:rsidRDefault="005A5734" w:rsidP="00ED24E8">
      <w:pPr>
        <w:pStyle w:val="MediumGrid21"/>
        <w:rPr>
          <w:lang w:val="en-US"/>
        </w:rPr>
      </w:pPr>
    </w:p>
    <w:p w14:paraId="0C94AB5E" w14:textId="77777777" w:rsidR="008735D1" w:rsidRPr="00291B8E" w:rsidRDefault="008735D1" w:rsidP="008735D1">
      <w:pPr>
        <w:pStyle w:val="Heading2"/>
      </w:pPr>
      <w:r w:rsidRPr="00291B8E">
        <w:t>References</w:t>
      </w:r>
    </w:p>
    <w:p w14:paraId="0ACD575D" w14:textId="77777777" w:rsidR="00CF3349" w:rsidRDefault="006251BB" w:rsidP="00CF3349">
      <w:pPr>
        <w:pStyle w:val="myReference"/>
        <w:rPr>
          <w:rFonts w:eastAsia="Malgun Gothic"/>
        </w:rPr>
      </w:pPr>
      <w:r w:rsidRPr="006251BB">
        <w:rPr>
          <w:rFonts w:eastAsia="Malgun Gothic"/>
        </w:rPr>
        <w:t>RP-</w:t>
      </w:r>
      <w:r w:rsidR="00F17C55">
        <w:rPr>
          <w:rFonts w:eastAsia="Malgun Gothic"/>
        </w:rPr>
        <w:t>161291</w:t>
      </w:r>
      <w:r w:rsidRPr="006251BB">
        <w:rPr>
          <w:rFonts w:eastAsia="Malgun Gothic"/>
        </w:rPr>
        <w:t xml:space="preserve">, “New WI: </w:t>
      </w:r>
      <w:r w:rsidR="00F17C55" w:rsidRPr="00F17C55">
        <w:rPr>
          <w:rFonts w:eastAsia="Malgun Gothic"/>
        </w:rPr>
        <w:t>CBRS 3.5GHz band for LTE in the United States</w:t>
      </w:r>
      <w:r w:rsidRPr="006251BB">
        <w:rPr>
          <w:rFonts w:eastAsia="Malgun Gothic"/>
        </w:rPr>
        <w:t xml:space="preserve">”, </w:t>
      </w:r>
      <w:r w:rsidR="00F17C55">
        <w:rPr>
          <w:rFonts w:eastAsia="Malgun Gothic"/>
        </w:rPr>
        <w:t>Nokia, Qu</w:t>
      </w:r>
      <w:r w:rsidR="003667C3">
        <w:rPr>
          <w:rFonts w:eastAsia="Malgun Gothic"/>
        </w:rPr>
        <w:t>a</w:t>
      </w:r>
      <w:r w:rsidR="00F17C55">
        <w:rPr>
          <w:rFonts w:eastAsia="Malgun Gothic"/>
        </w:rPr>
        <w:t>lcomm</w:t>
      </w:r>
      <w:r w:rsidRPr="006251BB">
        <w:rPr>
          <w:rFonts w:eastAsia="Malgun Gothic"/>
        </w:rPr>
        <w:t>, 3GPP RAN#</w:t>
      </w:r>
      <w:r w:rsidR="00F17C55">
        <w:rPr>
          <w:rFonts w:eastAsia="Malgun Gothic"/>
        </w:rPr>
        <w:t>72</w:t>
      </w:r>
      <w:r w:rsidRPr="006251BB">
        <w:rPr>
          <w:rFonts w:eastAsia="Malgun Gothic"/>
        </w:rPr>
        <w:t xml:space="preserve">, </w:t>
      </w:r>
      <w:r w:rsidR="00F17C55">
        <w:rPr>
          <w:rFonts w:eastAsia="Malgun Gothic"/>
        </w:rPr>
        <w:t>Busan</w:t>
      </w:r>
      <w:r w:rsidRPr="006251BB">
        <w:rPr>
          <w:rFonts w:eastAsia="Malgun Gothic"/>
        </w:rPr>
        <w:t xml:space="preserve">, </w:t>
      </w:r>
      <w:r w:rsidR="00F17C55">
        <w:rPr>
          <w:rFonts w:eastAsia="Malgun Gothic"/>
        </w:rPr>
        <w:t>Korea</w:t>
      </w:r>
      <w:r w:rsidRPr="006251BB">
        <w:rPr>
          <w:rFonts w:eastAsia="Malgun Gothic"/>
        </w:rPr>
        <w:t xml:space="preserve">, </w:t>
      </w:r>
      <w:r w:rsidR="00F17C55">
        <w:rPr>
          <w:rFonts w:eastAsia="Malgun Gothic"/>
        </w:rPr>
        <w:t>June 2016</w:t>
      </w:r>
    </w:p>
    <w:p w14:paraId="7F539CA0" w14:textId="29CBF4D3" w:rsidR="00CF3349" w:rsidRPr="00CF3349" w:rsidRDefault="00CF3349" w:rsidP="00CF3349">
      <w:pPr>
        <w:pStyle w:val="myReference"/>
        <w:rPr>
          <w:rFonts w:eastAsia="Malgun Gothic"/>
        </w:rPr>
      </w:pPr>
      <w:r w:rsidRPr="00CF3349">
        <w:t xml:space="preserve">FCC-15-47A1. </w:t>
      </w:r>
      <w:hyperlink r:id="rId10" w:history="1">
        <w:r w:rsidRPr="00465EAC">
          <w:rPr>
            <w:rStyle w:val="Hyperlink"/>
            <w:rFonts w:ascii="Times New Roman" w:hAnsi="Times New Roman"/>
            <w:sz w:val="20"/>
          </w:rPr>
          <w:t>https://apps.fcc.gov/edocs_public/attachmatch/FCC-15-47A1.pdf</w:t>
        </w:r>
      </w:hyperlink>
    </w:p>
    <w:p w14:paraId="1EF79BC2" w14:textId="1BFD9DE1" w:rsidR="00CF3349" w:rsidRPr="00CF3349" w:rsidRDefault="00CF3349" w:rsidP="00CF3349">
      <w:pPr>
        <w:pStyle w:val="myReference"/>
        <w:rPr>
          <w:rFonts w:eastAsia="Malgun Gothic"/>
        </w:rPr>
      </w:pPr>
      <w:r w:rsidRPr="00CF3349">
        <w:t xml:space="preserve">FCC-16-55A1, </w:t>
      </w:r>
      <w:hyperlink r:id="rId11" w:history="1">
        <w:r w:rsidRPr="00465EAC">
          <w:rPr>
            <w:rStyle w:val="Hyperlink"/>
            <w:rFonts w:ascii="Times New Roman" w:hAnsi="Times New Roman"/>
            <w:sz w:val="20"/>
          </w:rPr>
          <w:t>https://apps.fcc.gov/edocs_public/attachmatch/FCC-16-55A1.pdf</w:t>
        </w:r>
      </w:hyperlink>
      <w:r>
        <w:t xml:space="preserve"> </w:t>
      </w:r>
    </w:p>
    <w:p w14:paraId="51544BC8" w14:textId="77777777" w:rsidR="00BF6D16" w:rsidRPr="00BF6D16" w:rsidRDefault="00BF6D16" w:rsidP="00BF6D16"/>
    <w:bookmarkEnd w:id="0"/>
    <w:bookmarkEnd w:id="1"/>
    <w:bookmarkEnd w:id="2"/>
    <w:bookmarkEnd w:id="3"/>
    <w:bookmarkEnd w:id="4"/>
    <w:bookmarkEnd w:id="5"/>
    <w:bookmarkEnd w:id="6"/>
    <w:bookmarkEnd w:id="7"/>
    <w:bookmarkEnd w:id="8"/>
    <w:bookmarkEnd w:id="9"/>
    <w:bookmarkEnd w:id="10"/>
    <w:bookmarkEnd w:id="11"/>
    <w:bookmarkEnd w:id="13"/>
    <w:p w14:paraId="29EC2461" w14:textId="77777777" w:rsidR="00367047" w:rsidRPr="00E52F39" w:rsidRDefault="00367047" w:rsidP="00B85E74">
      <w:pPr>
        <w:rPr>
          <w:rFonts w:eastAsia="Malgun Gothic"/>
        </w:rPr>
      </w:pPr>
    </w:p>
    <w:sectPr w:rsidR="00367047" w:rsidRPr="00E52F39" w:rsidSect="00624C4C">
      <w:headerReference w:type="even" r:id="rId12"/>
      <w:headerReference w:type="first" r:id="rId13"/>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9D008" w14:textId="77777777" w:rsidR="002F758C" w:rsidRDefault="002F758C">
      <w:r>
        <w:separator/>
      </w:r>
    </w:p>
  </w:endnote>
  <w:endnote w:type="continuationSeparator" w:id="0">
    <w:p w14:paraId="7CB543A3" w14:textId="77777777" w:rsidR="002F758C" w:rsidRDefault="002F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4D4D7" w14:textId="77777777" w:rsidR="002F758C" w:rsidRDefault="002F758C">
      <w:r>
        <w:separator/>
      </w:r>
    </w:p>
  </w:footnote>
  <w:footnote w:type="continuationSeparator" w:id="0">
    <w:p w14:paraId="1026A81B" w14:textId="77777777" w:rsidR="002F758C" w:rsidRDefault="002F7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EF962" w14:textId="77777777" w:rsidR="00AA0CCB" w:rsidRDefault="002F758C">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A9AE7" w14:textId="77777777" w:rsidR="00AA0CCB" w:rsidRDefault="002F758C">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pt;height:24pt" o:bullet="t">
        <v:imagedata r:id="rId1" o:title="clip_image001"/>
      </v:shape>
    </w:pict>
  </w:numPicBullet>
  <w:abstractNum w:abstractNumId="0" w15:restartNumberingAfterBreak="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8C66AC2"/>
    <w:lvl w:ilvl="0">
      <w:numFmt w:val="bullet"/>
      <w:lvlText w:val="*"/>
      <w:lvlJc w:val="left"/>
    </w:lvl>
  </w:abstractNum>
  <w:abstractNum w:abstractNumId="2" w15:restartNumberingAfterBreak="0">
    <w:nsid w:val="03DE7FB2"/>
    <w:multiLevelType w:val="hybridMultilevel"/>
    <w:tmpl w:val="4C4A2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6" w15:restartNumberingAfterBreak="0">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15:restartNumberingAfterBreak="0">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974009"/>
    <w:multiLevelType w:val="hybridMultilevel"/>
    <w:tmpl w:val="CF8C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1" w15:restartNumberingAfterBreak="0">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4" w15:restartNumberingAfterBreak="0">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FE327F7"/>
    <w:multiLevelType w:val="hybridMultilevel"/>
    <w:tmpl w:val="AEC6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3" w15:restartNumberingAfterBreak="0">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3A50F5"/>
    <w:multiLevelType w:val="hybridMultilevel"/>
    <w:tmpl w:val="1A38591E"/>
    <w:lvl w:ilvl="0" w:tplc="71008670">
      <w:start w:val="1"/>
      <w:numFmt w:val="bullet"/>
      <w:lvlText w:val=""/>
      <w:lvlJc w:val="left"/>
      <w:pPr>
        <w:tabs>
          <w:tab w:val="num" w:pos="720"/>
        </w:tabs>
        <w:ind w:left="720" w:hanging="360"/>
      </w:pPr>
      <w:rPr>
        <w:rFonts w:ascii="Wingdings" w:hAnsi="Wingdings" w:hint="default"/>
      </w:rPr>
    </w:lvl>
    <w:lvl w:ilvl="1" w:tplc="E28CAEAC" w:tentative="1">
      <w:start w:val="1"/>
      <w:numFmt w:val="bullet"/>
      <w:lvlText w:val=""/>
      <w:lvlJc w:val="left"/>
      <w:pPr>
        <w:tabs>
          <w:tab w:val="num" w:pos="1440"/>
        </w:tabs>
        <w:ind w:left="1440" w:hanging="360"/>
      </w:pPr>
      <w:rPr>
        <w:rFonts w:ascii="Wingdings" w:hAnsi="Wingdings" w:hint="default"/>
      </w:rPr>
    </w:lvl>
    <w:lvl w:ilvl="2" w:tplc="B2C6CD54" w:tentative="1">
      <w:start w:val="1"/>
      <w:numFmt w:val="bullet"/>
      <w:lvlText w:val=""/>
      <w:lvlJc w:val="left"/>
      <w:pPr>
        <w:tabs>
          <w:tab w:val="num" w:pos="2160"/>
        </w:tabs>
        <w:ind w:left="2160" w:hanging="360"/>
      </w:pPr>
      <w:rPr>
        <w:rFonts w:ascii="Wingdings" w:hAnsi="Wingdings" w:hint="default"/>
      </w:rPr>
    </w:lvl>
    <w:lvl w:ilvl="3" w:tplc="B9AA4566" w:tentative="1">
      <w:start w:val="1"/>
      <w:numFmt w:val="bullet"/>
      <w:lvlText w:val=""/>
      <w:lvlJc w:val="left"/>
      <w:pPr>
        <w:tabs>
          <w:tab w:val="num" w:pos="2880"/>
        </w:tabs>
        <w:ind w:left="2880" w:hanging="360"/>
      </w:pPr>
      <w:rPr>
        <w:rFonts w:ascii="Wingdings" w:hAnsi="Wingdings" w:hint="default"/>
      </w:rPr>
    </w:lvl>
    <w:lvl w:ilvl="4" w:tplc="CA34B424" w:tentative="1">
      <w:start w:val="1"/>
      <w:numFmt w:val="bullet"/>
      <w:lvlText w:val=""/>
      <w:lvlJc w:val="left"/>
      <w:pPr>
        <w:tabs>
          <w:tab w:val="num" w:pos="3600"/>
        </w:tabs>
        <w:ind w:left="3600" w:hanging="360"/>
      </w:pPr>
      <w:rPr>
        <w:rFonts w:ascii="Wingdings" w:hAnsi="Wingdings" w:hint="default"/>
      </w:rPr>
    </w:lvl>
    <w:lvl w:ilvl="5" w:tplc="7D28C344" w:tentative="1">
      <w:start w:val="1"/>
      <w:numFmt w:val="bullet"/>
      <w:lvlText w:val=""/>
      <w:lvlJc w:val="left"/>
      <w:pPr>
        <w:tabs>
          <w:tab w:val="num" w:pos="4320"/>
        </w:tabs>
        <w:ind w:left="4320" w:hanging="360"/>
      </w:pPr>
      <w:rPr>
        <w:rFonts w:ascii="Wingdings" w:hAnsi="Wingdings" w:hint="default"/>
      </w:rPr>
    </w:lvl>
    <w:lvl w:ilvl="6" w:tplc="7E60CB96" w:tentative="1">
      <w:start w:val="1"/>
      <w:numFmt w:val="bullet"/>
      <w:lvlText w:val=""/>
      <w:lvlJc w:val="left"/>
      <w:pPr>
        <w:tabs>
          <w:tab w:val="num" w:pos="5040"/>
        </w:tabs>
        <w:ind w:left="5040" w:hanging="360"/>
      </w:pPr>
      <w:rPr>
        <w:rFonts w:ascii="Wingdings" w:hAnsi="Wingdings" w:hint="default"/>
      </w:rPr>
    </w:lvl>
    <w:lvl w:ilvl="7" w:tplc="D4B84D86" w:tentative="1">
      <w:start w:val="1"/>
      <w:numFmt w:val="bullet"/>
      <w:lvlText w:val=""/>
      <w:lvlJc w:val="left"/>
      <w:pPr>
        <w:tabs>
          <w:tab w:val="num" w:pos="5760"/>
        </w:tabs>
        <w:ind w:left="5760" w:hanging="360"/>
      </w:pPr>
      <w:rPr>
        <w:rFonts w:ascii="Wingdings" w:hAnsi="Wingdings" w:hint="default"/>
      </w:rPr>
    </w:lvl>
    <w:lvl w:ilvl="8" w:tplc="787CA5F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BBE7C2C"/>
    <w:multiLevelType w:val="hybridMultilevel"/>
    <w:tmpl w:val="DAD0200A"/>
    <w:lvl w:ilvl="0" w:tplc="6C0092F6">
      <w:start w:val="1"/>
      <w:numFmt w:val="bullet"/>
      <w:lvlText w:val=""/>
      <w:lvlJc w:val="left"/>
      <w:pPr>
        <w:tabs>
          <w:tab w:val="num" w:pos="720"/>
        </w:tabs>
        <w:ind w:left="720" w:hanging="360"/>
      </w:pPr>
      <w:rPr>
        <w:rFonts w:ascii="Wingdings" w:hAnsi="Wingdings" w:hint="default"/>
      </w:rPr>
    </w:lvl>
    <w:lvl w:ilvl="1" w:tplc="80327F7E" w:tentative="1">
      <w:start w:val="1"/>
      <w:numFmt w:val="bullet"/>
      <w:lvlText w:val=""/>
      <w:lvlJc w:val="left"/>
      <w:pPr>
        <w:tabs>
          <w:tab w:val="num" w:pos="1440"/>
        </w:tabs>
        <w:ind w:left="1440" w:hanging="360"/>
      </w:pPr>
      <w:rPr>
        <w:rFonts w:ascii="Wingdings" w:hAnsi="Wingdings" w:hint="default"/>
      </w:rPr>
    </w:lvl>
    <w:lvl w:ilvl="2" w:tplc="75C68D86" w:tentative="1">
      <w:start w:val="1"/>
      <w:numFmt w:val="bullet"/>
      <w:lvlText w:val=""/>
      <w:lvlJc w:val="left"/>
      <w:pPr>
        <w:tabs>
          <w:tab w:val="num" w:pos="2160"/>
        </w:tabs>
        <w:ind w:left="2160" w:hanging="360"/>
      </w:pPr>
      <w:rPr>
        <w:rFonts w:ascii="Wingdings" w:hAnsi="Wingdings" w:hint="default"/>
      </w:rPr>
    </w:lvl>
    <w:lvl w:ilvl="3" w:tplc="ED822428" w:tentative="1">
      <w:start w:val="1"/>
      <w:numFmt w:val="bullet"/>
      <w:lvlText w:val=""/>
      <w:lvlJc w:val="left"/>
      <w:pPr>
        <w:tabs>
          <w:tab w:val="num" w:pos="2880"/>
        </w:tabs>
        <w:ind w:left="2880" w:hanging="360"/>
      </w:pPr>
      <w:rPr>
        <w:rFonts w:ascii="Wingdings" w:hAnsi="Wingdings" w:hint="default"/>
      </w:rPr>
    </w:lvl>
    <w:lvl w:ilvl="4" w:tplc="6AF6CCD0" w:tentative="1">
      <w:start w:val="1"/>
      <w:numFmt w:val="bullet"/>
      <w:lvlText w:val=""/>
      <w:lvlJc w:val="left"/>
      <w:pPr>
        <w:tabs>
          <w:tab w:val="num" w:pos="3600"/>
        </w:tabs>
        <w:ind w:left="3600" w:hanging="360"/>
      </w:pPr>
      <w:rPr>
        <w:rFonts w:ascii="Wingdings" w:hAnsi="Wingdings" w:hint="default"/>
      </w:rPr>
    </w:lvl>
    <w:lvl w:ilvl="5" w:tplc="BE706ACE" w:tentative="1">
      <w:start w:val="1"/>
      <w:numFmt w:val="bullet"/>
      <w:lvlText w:val=""/>
      <w:lvlJc w:val="left"/>
      <w:pPr>
        <w:tabs>
          <w:tab w:val="num" w:pos="4320"/>
        </w:tabs>
        <w:ind w:left="4320" w:hanging="360"/>
      </w:pPr>
      <w:rPr>
        <w:rFonts w:ascii="Wingdings" w:hAnsi="Wingdings" w:hint="default"/>
      </w:rPr>
    </w:lvl>
    <w:lvl w:ilvl="6" w:tplc="FDCABAF6" w:tentative="1">
      <w:start w:val="1"/>
      <w:numFmt w:val="bullet"/>
      <w:lvlText w:val=""/>
      <w:lvlJc w:val="left"/>
      <w:pPr>
        <w:tabs>
          <w:tab w:val="num" w:pos="5040"/>
        </w:tabs>
        <w:ind w:left="5040" w:hanging="360"/>
      </w:pPr>
      <w:rPr>
        <w:rFonts w:ascii="Wingdings" w:hAnsi="Wingdings" w:hint="default"/>
      </w:rPr>
    </w:lvl>
    <w:lvl w:ilvl="7" w:tplc="ED824334" w:tentative="1">
      <w:start w:val="1"/>
      <w:numFmt w:val="bullet"/>
      <w:lvlText w:val=""/>
      <w:lvlJc w:val="left"/>
      <w:pPr>
        <w:tabs>
          <w:tab w:val="num" w:pos="5760"/>
        </w:tabs>
        <w:ind w:left="5760" w:hanging="360"/>
      </w:pPr>
      <w:rPr>
        <w:rFonts w:ascii="Wingdings" w:hAnsi="Wingdings" w:hint="default"/>
      </w:rPr>
    </w:lvl>
    <w:lvl w:ilvl="8" w:tplc="A40037B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30" w15:restartNumberingAfterBreak="0">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82B0A"/>
    <w:multiLevelType w:val="hybridMultilevel"/>
    <w:tmpl w:val="AD5EA2BE"/>
    <w:lvl w:ilvl="0" w:tplc="05D410C4">
      <w:start w:val="1"/>
      <w:numFmt w:val="bullet"/>
      <w:lvlText w:val="–"/>
      <w:lvlJc w:val="left"/>
      <w:pPr>
        <w:tabs>
          <w:tab w:val="num" w:pos="720"/>
        </w:tabs>
        <w:ind w:left="720" w:hanging="360"/>
      </w:pPr>
      <w:rPr>
        <w:rFonts w:ascii="Arial" w:hAnsi="Arial" w:hint="default"/>
      </w:rPr>
    </w:lvl>
    <w:lvl w:ilvl="1" w:tplc="6D76ACA6">
      <w:start w:val="1"/>
      <w:numFmt w:val="bullet"/>
      <w:lvlText w:val="–"/>
      <w:lvlJc w:val="left"/>
      <w:pPr>
        <w:tabs>
          <w:tab w:val="num" w:pos="1440"/>
        </w:tabs>
        <w:ind w:left="1440" w:hanging="360"/>
      </w:pPr>
      <w:rPr>
        <w:rFonts w:ascii="Arial" w:hAnsi="Arial" w:hint="default"/>
      </w:rPr>
    </w:lvl>
    <w:lvl w:ilvl="2" w:tplc="D2BAA198" w:tentative="1">
      <w:start w:val="1"/>
      <w:numFmt w:val="bullet"/>
      <w:lvlText w:val="–"/>
      <w:lvlJc w:val="left"/>
      <w:pPr>
        <w:tabs>
          <w:tab w:val="num" w:pos="2160"/>
        </w:tabs>
        <w:ind w:left="2160" w:hanging="360"/>
      </w:pPr>
      <w:rPr>
        <w:rFonts w:ascii="Arial" w:hAnsi="Arial" w:hint="default"/>
      </w:rPr>
    </w:lvl>
    <w:lvl w:ilvl="3" w:tplc="EE303848" w:tentative="1">
      <w:start w:val="1"/>
      <w:numFmt w:val="bullet"/>
      <w:lvlText w:val="–"/>
      <w:lvlJc w:val="left"/>
      <w:pPr>
        <w:tabs>
          <w:tab w:val="num" w:pos="2880"/>
        </w:tabs>
        <w:ind w:left="2880" w:hanging="360"/>
      </w:pPr>
      <w:rPr>
        <w:rFonts w:ascii="Arial" w:hAnsi="Arial" w:hint="default"/>
      </w:rPr>
    </w:lvl>
    <w:lvl w:ilvl="4" w:tplc="8522EF70" w:tentative="1">
      <w:start w:val="1"/>
      <w:numFmt w:val="bullet"/>
      <w:lvlText w:val="–"/>
      <w:lvlJc w:val="left"/>
      <w:pPr>
        <w:tabs>
          <w:tab w:val="num" w:pos="3600"/>
        </w:tabs>
        <w:ind w:left="3600" w:hanging="360"/>
      </w:pPr>
      <w:rPr>
        <w:rFonts w:ascii="Arial" w:hAnsi="Arial" w:hint="default"/>
      </w:rPr>
    </w:lvl>
    <w:lvl w:ilvl="5" w:tplc="53EE334E" w:tentative="1">
      <w:start w:val="1"/>
      <w:numFmt w:val="bullet"/>
      <w:lvlText w:val="–"/>
      <w:lvlJc w:val="left"/>
      <w:pPr>
        <w:tabs>
          <w:tab w:val="num" w:pos="4320"/>
        </w:tabs>
        <w:ind w:left="4320" w:hanging="360"/>
      </w:pPr>
      <w:rPr>
        <w:rFonts w:ascii="Arial" w:hAnsi="Arial" w:hint="default"/>
      </w:rPr>
    </w:lvl>
    <w:lvl w:ilvl="6" w:tplc="A6E87FCA" w:tentative="1">
      <w:start w:val="1"/>
      <w:numFmt w:val="bullet"/>
      <w:lvlText w:val="–"/>
      <w:lvlJc w:val="left"/>
      <w:pPr>
        <w:tabs>
          <w:tab w:val="num" w:pos="5040"/>
        </w:tabs>
        <w:ind w:left="5040" w:hanging="360"/>
      </w:pPr>
      <w:rPr>
        <w:rFonts w:ascii="Arial" w:hAnsi="Arial" w:hint="default"/>
      </w:rPr>
    </w:lvl>
    <w:lvl w:ilvl="7" w:tplc="DD605064" w:tentative="1">
      <w:start w:val="1"/>
      <w:numFmt w:val="bullet"/>
      <w:lvlText w:val="–"/>
      <w:lvlJc w:val="left"/>
      <w:pPr>
        <w:tabs>
          <w:tab w:val="num" w:pos="5760"/>
        </w:tabs>
        <w:ind w:left="5760" w:hanging="360"/>
      </w:pPr>
      <w:rPr>
        <w:rFonts w:ascii="Arial" w:hAnsi="Arial" w:hint="default"/>
      </w:rPr>
    </w:lvl>
    <w:lvl w:ilvl="8" w:tplc="6826FE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0"/>
  </w:num>
  <w:num w:numId="2">
    <w:abstractNumId w:val="33"/>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9"/>
  </w:num>
  <w:num w:numId="5">
    <w:abstractNumId w:val="5"/>
  </w:num>
  <w:num w:numId="6">
    <w:abstractNumId w:val="13"/>
  </w:num>
  <w:num w:numId="7">
    <w:abstractNumId w:val="10"/>
  </w:num>
  <w:num w:numId="8">
    <w:abstractNumId w:val="22"/>
  </w:num>
  <w:num w:numId="9">
    <w:abstractNumId w:val="25"/>
  </w:num>
  <w:num w:numId="10">
    <w:abstractNumId w:val="7"/>
  </w:num>
  <w:num w:numId="11">
    <w:abstractNumId w:val="16"/>
  </w:num>
  <w:num w:numId="12">
    <w:abstractNumId w:val="19"/>
  </w:num>
  <w:num w:numId="13">
    <w:abstractNumId w:val="6"/>
  </w:num>
  <w:num w:numId="14">
    <w:abstractNumId w:val="38"/>
  </w:num>
  <w:num w:numId="15">
    <w:abstractNumId w:val="36"/>
  </w:num>
  <w:num w:numId="16">
    <w:abstractNumId w:val="4"/>
  </w:num>
  <w:num w:numId="17">
    <w:abstractNumId w:val="11"/>
  </w:num>
  <w:num w:numId="18">
    <w:abstractNumId w:val="18"/>
  </w:num>
  <w:num w:numId="19">
    <w:abstractNumId w:val="31"/>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3"/>
  </w:num>
  <w:num w:numId="24">
    <w:abstractNumId w:val="34"/>
  </w:num>
  <w:num w:numId="25">
    <w:abstractNumId w:val="27"/>
  </w:num>
  <w:num w:numId="26">
    <w:abstractNumId w:val="39"/>
  </w:num>
  <w:num w:numId="27">
    <w:abstractNumId w:val="2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3"/>
  </w:num>
  <w:num w:numId="31">
    <w:abstractNumId w:val="8"/>
  </w:num>
  <w:num w:numId="32">
    <w:abstractNumId w:val="15"/>
  </w:num>
  <w:num w:numId="33">
    <w:abstractNumId w:val="37"/>
  </w:num>
  <w:num w:numId="34">
    <w:abstractNumId w:val="32"/>
  </w:num>
  <w:num w:numId="35">
    <w:abstractNumId w:val="30"/>
  </w:num>
  <w:num w:numId="36">
    <w:abstractNumId w:val="14"/>
  </w:num>
  <w:num w:numId="37">
    <w:abstractNumId w:val="24"/>
  </w:num>
  <w:num w:numId="38">
    <w:abstractNumId w:val="9"/>
  </w:num>
  <w:num w:numId="39">
    <w:abstractNumId w:val="20"/>
  </w:num>
  <w:num w:numId="40">
    <w:abstractNumId w:val="2"/>
  </w:num>
  <w:num w:numId="41">
    <w:abstractNumId w:val="28"/>
  </w:num>
  <w:num w:numId="42">
    <w:abstractNumId w:val="35"/>
  </w:num>
  <w:num w:numId="43">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72A0"/>
    <w:rsid w:val="00020BE8"/>
    <w:rsid w:val="00022A67"/>
    <w:rsid w:val="00023924"/>
    <w:rsid w:val="000330BE"/>
    <w:rsid w:val="00033694"/>
    <w:rsid w:val="00037A9D"/>
    <w:rsid w:val="00040805"/>
    <w:rsid w:val="00040A77"/>
    <w:rsid w:val="0004121D"/>
    <w:rsid w:val="00043BA7"/>
    <w:rsid w:val="000471B9"/>
    <w:rsid w:val="000516ED"/>
    <w:rsid w:val="00053BBC"/>
    <w:rsid w:val="00054289"/>
    <w:rsid w:val="000555CF"/>
    <w:rsid w:val="00063F43"/>
    <w:rsid w:val="00065781"/>
    <w:rsid w:val="000661E4"/>
    <w:rsid w:val="0007700F"/>
    <w:rsid w:val="00085D2E"/>
    <w:rsid w:val="00091166"/>
    <w:rsid w:val="00091DFF"/>
    <w:rsid w:val="00093FF8"/>
    <w:rsid w:val="000A23B1"/>
    <w:rsid w:val="000A39E4"/>
    <w:rsid w:val="000A7331"/>
    <w:rsid w:val="000B0A53"/>
    <w:rsid w:val="000B40F8"/>
    <w:rsid w:val="000D2A3B"/>
    <w:rsid w:val="000D3A44"/>
    <w:rsid w:val="000D60B1"/>
    <w:rsid w:val="000E0946"/>
    <w:rsid w:val="000E0A4D"/>
    <w:rsid w:val="000E1C03"/>
    <w:rsid w:val="000E3141"/>
    <w:rsid w:val="000E351F"/>
    <w:rsid w:val="000F3925"/>
    <w:rsid w:val="001026FB"/>
    <w:rsid w:val="00106101"/>
    <w:rsid w:val="00111B4D"/>
    <w:rsid w:val="00113288"/>
    <w:rsid w:val="00121A92"/>
    <w:rsid w:val="00122D49"/>
    <w:rsid w:val="00124CAB"/>
    <w:rsid w:val="00124FC4"/>
    <w:rsid w:val="00125E6C"/>
    <w:rsid w:val="00126007"/>
    <w:rsid w:val="00126C5B"/>
    <w:rsid w:val="00130247"/>
    <w:rsid w:val="0013228A"/>
    <w:rsid w:val="00135F33"/>
    <w:rsid w:val="001378B5"/>
    <w:rsid w:val="00142DC9"/>
    <w:rsid w:val="00147E3B"/>
    <w:rsid w:val="001530CA"/>
    <w:rsid w:val="00153D32"/>
    <w:rsid w:val="001637B1"/>
    <w:rsid w:val="00163E46"/>
    <w:rsid w:val="00165F94"/>
    <w:rsid w:val="001672F2"/>
    <w:rsid w:val="001711DA"/>
    <w:rsid w:val="001719A2"/>
    <w:rsid w:val="001740D3"/>
    <w:rsid w:val="00175702"/>
    <w:rsid w:val="0017614A"/>
    <w:rsid w:val="001771A5"/>
    <w:rsid w:val="00182382"/>
    <w:rsid w:val="00183077"/>
    <w:rsid w:val="00185533"/>
    <w:rsid w:val="00185F8C"/>
    <w:rsid w:val="00187799"/>
    <w:rsid w:val="00190471"/>
    <w:rsid w:val="00196379"/>
    <w:rsid w:val="001A4946"/>
    <w:rsid w:val="001A58CF"/>
    <w:rsid w:val="001B0649"/>
    <w:rsid w:val="001B171E"/>
    <w:rsid w:val="001B391D"/>
    <w:rsid w:val="001D23DF"/>
    <w:rsid w:val="001D25BE"/>
    <w:rsid w:val="001D70ED"/>
    <w:rsid w:val="001E0D4F"/>
    <w:rsid w:val="001E177E"/>
    <w:rsid w:val="001E26C6"/>
    <w:rsid w:val="001E2938"/>
    <w:rsid w:val="001E377C"/>
    <w:rsid w:val="001E677F"/>
    <w:rsid w:val="001F0F88"/>
    <w:rsid w:val="001F527F"/>
    <w:rsid w:val="001F7546"/>
    <w:rsid w:val="002009FC"/>
    <w:rsid w:val="00201722"/>
    <w:rsid w:val="00203E15"/>
    <w:rsid w:val="0022262E"/>
    <w:rsid w:val="0022758F"/>
    <w:rsid w:val="00230569"/>
    <w:rsid w:val="00231B21"/>
    <w:rsid w:val="00232729"/>
    <w:rsid w:val="00233D0F"/>
    <w:rsid w:val="00233F02"/>
    <w:rsid w:val="00243D0F"/>
    <w:rsid w:val="00246849"/>
    <w:rsid w:val="0025026A"/>
    <w:rsid w:val="00250CA5"/>
    <w:rsid w:val="00252F36"/>
    <w:rsid w:val="002558C3"/>
    <w:rsid w:val="00257DAC"/>
    <w:rsid w:val="00260844"/>
    <w:rsid w:val="002616EE"/>
    <w:rsid w:val="00264196"/>
    <w:rsid w:val="00266446"/>
    <w:rsid w:val="00266567"/>
    <w:rsid w:val="0026790A"/>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B6F08"/>
    <w:rsid w:val="002C5988"/>
    <w:rsid w:val="002C7A99"/>
    <w:rsid w:val="002D0174"/>
    <w:rsid w:val="002D2AF6"/>
    <w:rsid w:val="002D3DFB"/>
    <w:rsid w:val="002D3EA5"/>
    <w:rsid w:val="002D72F2"/>
    <w:rsid w:val="002E41C5"/>
    <w:rsid w:val="002E7B05"/>
    <w:rsid w:val="002F07EA"/>
    <w:rsid w:val="002F42B3"/>
    <w:rsid w:val="002F6DCF"/>
    <w:rsid w:val="002F7409"/>
    <w:rsid w:val="002F758C"/>
    <w:rsid w:val="002F78E0"/>
    <w:rsid w:val="00301213"/>
    <w:rsid w:val="003028E1"/>
    <w:rsid w:val="00304E4A"/>
    <w:rsid w:val="00305004"/>
    <w:rsid w:val="00305A7B"/>
    <w:rsid w:val="00317417"/>
    <w:rsid w:val="00320575"/>
    <w:rsid w:val="00321F5B"/>
    <w:rsid w:val="003238A2"/>
    <w:rsid w:val="00324FCE"/>
    <w:rsid w:val="00327B6B"/>
    <w:rsid w:val="00331C24"/>
    <w:rsid w:val="00332CA3"/>
    <w:rsid w:val="0033579C"/>
    <w:rsid w:val="003374F6"/>
    <w:rsid w:val="00341591"/>
    <w:rsid w:val="00345C29"/>
    <w:rsid w:val="00346D8A"/>
    <w:rsid w:val="00356744"/>
    <w:rsid w:val="00357DF2"/>
    <w:rsid w:val="0036066F"/>
    <w:rsid w:val="003606E7"/>
    <w:rsid w:val="0036162C"/>
    <w:rsid w:val="00361AF8"/>
    <w:rsid w:val="00365F06"/>
    <w:rsid w:val="00365F3F"/>
    <w:rsid w:val="003665E6"/>
    <w:rsid w:val="003667C3"/>
    <w:rsid w:val="003668B5"/>
    <w:rsid w:val="00367047"/>
    <w:rsid w:val="00374AF2"/>
    <w:rsid w:val="00375080"/>
    <w:rsid w:val="003758B8"/>
    <w:rsid w:val="0037766D"/>
    <w:rsid w:val="0038175D"/>
    <w:rsid w:val="00386750"/>
    <w:rsid w:val="00390DE9"/>
    <w:rsid w:val="00397811"/>
    <w:rsid w:val="003A379F"/>
    <w:rsid w:val="003B3E3A"/>
    <w:rsid w:val="003B4722"/>
    <w:rsid w:val="003B4DD8"/>
    <w:rsid w:val="003C18B8"/>
    <w:rsid w:val="003C2025"/>
    <w:rsid w:val="003C6111"/>
    <w:rsid w:val="003C682F"/>
    <w:rsid w:val="003C70CA"/>
    <w:rsid w:val="003C780A"/>
    <w:rsid w:val="003D08C5"/>
    <w:rsid w:val="003D4B0F"/>
    <w:rsid w:val="003D5BB8"/>
    <w:rsid w:val="003E23C8"/>
    <w:rsid w:val="003E2AAB"/>
    <w:rsid w:val="003F38FD"/>
    <w:rsid w:val="003F52AD"/>
    <w:rsid w:val="003F69B1"/>
    <w:rsid w:val="004038D1"/>
    <w:rsid w:val="00405DC4"/>
    <w:rsid w:val="004149D0"/>
    <w:rsid w:val="00420CCF"/>
    <w:rsid w:val="00421B35"/>
    <w:rsid w:val="00421D3B"/>
    <w:rsid w:val="00427286"/>
    <w:rsid w:val="00430016"/>
    <w:rsid w:val="00432A8D"/>
    <w:rsid w:val="00432FDC"/>
    <w:rsid w:val="004331CF"/>
    <w:rsid w:val="004401AB"/>
    <w:rsid w:val="00440BA3"/>
    <w:rsid w:val="004421E3"/>
    <w:rsid w:val="00443632"/>
    <w:rsid w:val="0044517D"/>
    <w:rsid w:val="00447F53"/>
    <w:rsid w:val="00453841"/>
    <w:rsid w:val="00454E50"/>
    <w:rsid w:val="0046211C"/>
    <w:rsid w:val="00466D70"/>
    <w:rsid w:val="00467D33"/>
    <w:rsid w:val="00470997"/>
    <w:rsid w:val="00474F2A"/>
    <w:rsid w:val="00475AF0"/>
    <w:rsid w:val="00477183"/>
    <w:rsid w:val="0047771D"/>
    <w:rsid w:val="00483D33"/>
    <w:rsid w:val="004841EB"/>
    <w:rsid w:val="00484A74"/>
    <w:rsid w:val="00485179"/>
    <w:rsid w:val="00485ED6"/>
    <w:rsid w:val="00492F57"/>
    <w:rsid w:val="00493B5A"/>
    <w:rsid w:val="004941AC"/>
    <w:rsid w:val="00495BB0"/>
    <w:rsid w:val="004968A2"/>
    <w:rsid w:val="004A3E83"/>
    <w:rsid w:val="004A70D6"/>
    <w:rsid w:val="004B0918"/>
    <w:rsid w:val="004B23B4"/>
    <w:rsid w:val="004B571D"/>
    <w:rsid w:val="004B6364"/>
    <w:rsid w:val="004B789C"/>
    <w:rsid w:val="004C1E9B"/>
    <w:rsid w:val="004D12D6"/>
    <w:rsid w:val="004D1E63"/>
    <w:rsid w:val="004D54F9"/>
    <w:rsid w:val="004D6138"/>
    <w:rsid w:val="004D650E"/>
    <w:rsid w:val="004E30B4"/>
    <w:rsid w:val="004E3289"/>
    <w:rsid w:val="004E747E"/>
    <w:rsid w:val="004F2C69"/>
    <w:rsid w:val="004F3E52"/>
    <w:rsid w:val="005024E8"/>
    <w:rsid w:val="00502F4E"/>
    <w:rsid w:val="00505439"/>
    <w:rsid w:val="00507320"/>
    <w:rsid w:val="00507FC9"/>
    <w:rsid w:val="00510CC6"/>
    <w:rsid w:val="005137B7"/>
    <w:rsid w:val="00514975"/>
    <w:rsid w:val="0052125F"/>
    <w:rsid w:val="005222F6"/>
    <w:rsid w:val="00522742"/>
    <w:rsid w:val="00522BD0"/>
    <w:rsid w:val="0052420B"/>
    <w:rsid w:val="00527E84"/>
    <w:rsid w:val="00530370"/>
    <w:rsid w:val="00531634"/>
    <w:rsid w:val="005317D1"/>
    <w:rsid w:val="00553808"/>
    <w:rsid w:val="0056210C"/>
    <w:rsid w:val="005646CA"/>
    <w:rsid w:val="005700B8"/>
    <w:rsid w:val="005708F3"/>
    <w:rsid w:val="00571DF3"/>
    <w:rsid w:val="005732D3"/>
    <w:rsid w:val="00575C90"/>
    <w:rsid w:val="00580E9B"/>
    <w:rsid w:val="00581910"/>
    <w:rsid w:val="005837DE"/>
    <w:rsid w:val="00584571"/>
    <w:rsid w:val="00590771"/>
    <w:rsid w:val="00593C0C"/>
    <w:rsid w:val="005950DD"/>
    <w:rsid w:val="00596DB6"/>
    <w:rsid w:val="005A0343"/>
    <w:rsid w:val="005A066C"/>
    <w:rsid w:val="005A12DC"/>
    <w:rsid w:val="005A18E4"/>
    <w:rsid w:val="005A1B2B"/>
    <w:rsid w:val="005A4B57"/>
    <w:rsid w:val="005A4C52"/>
    <w:rsid w:val="005A5734"/>
    <w:rsid w:val="005B238E"/>
    <w:rsid w:val="005B27AD"/>
    <w:rsid w:val="005B461A"/>
    <w:rsid w:val="005B6160"/>
    <w:rsid w:val="005B71B9"/>
    <w:rsid w:val="005C42D6"/>
    <w:rsid w:val="005D1A91"/>
    <w:rsid w:val="005D1C51"/>
    <w:rsid w:val="005D3B82"/>
    <w:rsid w:val="005D50D8"/>
    <w:rsid w:val="005D51BB"/>
    <w:rsid w:val="005D5DA0"/>
    <w:rsid w:val="005D614A"/>
    <w:rsid w:val="005D784D"/>
    <w:rsid w:val="005D7F78"/>
    <w:rsid w:val="005E2FBB"/>
    <w:rsid w:val="005E3D21"/>
    <w:rsid w:val="005E6D32"/>
    <w:rsid w:val="005E7CF2"/>
    <w:rsid w:val="005F1E81"/>
    <w:rsid w:val="005F601C"/>
    <w:rsid w:val="005F7401"/>
    <w:rsid w:val="005F7ACF"/>
    <w:rsid w:val="00602B70"/>
    <w:rsid w:val="00602F1D"/>
    <w:rsid w:val="00603135"/>
    <w:rsid w:val="006054A9"/>
    <w:rsid w:val="006056AC"/>
    <w:rsid w:val="00605B12"/>
    <w:rsid w:val="006142A2"/>
    <w:rsid w:val="0061546A"/>
    <w:rsid w:val="0061619E"/>
    <w:rsid w:val="006171B0"/>
    <w:rsid w:val="00617FD9"/>
    <w:rsid w:val="00617FF4"/>
    <w:rsid w:val="00620E2C"/>
    <w:rsid w:val="00624C4C"/>
    <w:rsid w:val="006251BB"/>
    <w:rsid w:val="00627806"/>
    <w:rsid w:val="00633E0D"/>
    <w:rsid w:val="00641151"/>
    <w:rsid w:val="00642E4D"/>
    <w:rsid w:val="00642FCA"/>
    <w:rsid w:val="00643D70"/>
    <w:rsid w:val="00644C52"/>
    <w:rsid w:val="0064527B"/>
    <w:rsid w:val="00652620"/>
    <w:rsid w:val="00653965"/>
    <w:rsid w:val="00655CEB"/>
    <w:rsid w:val="006562AD"/>
    <w:rsid w:val="00660F8E"/>
    <w:rsid w:val="00661971"/>
    <w:rsid w:val="00667B38"/>
    <w:rsid w:val="00667FF2"/>
    <w:rsid w:val="00671937"/>
    <w:rsid w:val="006730CA"/>
    <w:rsid w:val="00683459"/>
    <w:rsid w:val="00693412"/>
    <w:rsid w:val="00694EF6"/>
    <w:rsid w:val="006A352F"/>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0CF"/>
    <w:rsid w:val="00701109"/>
    <w:rsid w:val="00701E15"/>
    <w:rsid w:val="007022EC"/>
    <w:rsid w:val="007032E8"/>
    <w:rsid w:val="00703379"/>
    <w:rsid w:val="007039E6"/>
    <w:rsid w:val="007105B2"/>
    <w:rsid w:val="00711B77"/>
    <w:rsid w:val="007123A5"/>
    <w:rsid w:val="00712AF7"/>
    <w:rsid w:val="007141E1"/>
    <w:rsid w:val="00717EA1"/>
    <w:rsid w:val="00720822"/>
    <w:rsid w:val="00722F32"/>
    <w:rsid w:val="0072383D"/>
    <w:rsid w:val="00730A4F"/>
    <w:rsid w:val="00733957"/>
    <w:rsid w:val="007402EB"/>
    <w:rsid w:val="00740E4D"/>
    <w:rsid w:val="00740ED1"/>
    <w:rsid w:val="00741882"/>
    <w:rsid w:val="007457C2"/>
    <w:rsid w:val="00747ABB"/>
    <w:rsid w:val="007526DA"/>
    <w:rsid w:val="00752C6E"/>
    <w:rsid w:val="00754104"/>
    <w:rsid w:val="00754242"/>
    <w:rsid w:val="0075501A"/>
    <w:rsid w:val="007560AC"/>
    <w:rsid w:val="00766296"/>
    <w:rsid w:val="0077022B"/>
    <w:rsid w:val="00770CF7"/>
    <w:rsid w:val="00773DFF"/>
    <w:rsid w:val="00774377"/>
    <w:rsid w:val="007746B5"/>
    <w:rsid w:val="00781BF7"/>
    <w:rsid w:val="00781EA7"/>
    <w:rsid w:val="00795746"/>
    <w:rsid w:val="007A0D8F"/>
    <w:rsid w:val="007A446A"/>
    <w:rsid w:val="007A447D"/>
    <w:rsid w:val="007A4C0C"/>
    <w:rsid w:val="007B14C6"/>
    <w:rsid w:val="007B3CB0"/>
    <w:rsid w:val="007B70AB"/>
    <w:rsid w:val="007B7F83"/>
    <w:rsid w:val="007C2EC7"/>
    <w:rsid w:val="007C5A63"/>
    <w:rsid w:val="007D3D8F"/>
    <w:rsid w:val="007D5920"/>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23032"/>
    <w:rsid w:val="008316A1"/>
    <w:rsid w:val="00833683"/>
    <w:rsid w:val="00833738"/>
    <w:rsid w:val="00834281"/>
    <w:rsid w:val="008345ED"/>
    <w:rsid w:val="00840BDD"/>
    <w:rsid w:val="008531EB"/>
    <w:rsid w:val="00854B14"/>
    <w:rsid w:val="00855903"/>
    <w:rsid w:val="00864AE8"/>
    <w:rsid w:val="008661ED"/>
    <w:rsid w:val="00866FAB"/>
    <w:rsid w:val="00867214"/>
    <w:rsid w:val="008703B1"/>
    <w:rsid w:val="0087125B"/>
    <w:rsid w:val="008713D6"/>
    <w:rsid w:val="008721A4"/>
    <w:rsid w:val="008725F3"/>
    <w:rsid w:val="008732E1"/>
    <w:rsid w:val="008735D1"/>
    <w:rsid w:val="00874F09"/>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2BED"/>
    <w:rsid w:val="008C0E04"/>
    <w:rsid w:val="008C2533"/>
    <w:rsid w:val="008C29AE"/>
    <w:rsid w:val="008C3095"/>
    <w:rsid w:val="008C3515"/>
    <w:rsid w:val="008C3EDC"/>
    <w:rsid w:val="008D03C6"/>
    <w:rsid w:val="008D17F4"/>
    <w:rsid w:val="008D1C80"/>
    <w:rsid w:val="008E70A5"/>
    <w:rsid w:val="008E7795"/>
    <w:rsid w:val="008F3ABE"/>
    <w:rsid w:val="0090412B"/>
    <w:rsid w:val="00905DFD"/>
    <w:rsid w:val="0090697A"/>
    <w:rsid w:val="0091424C"/>
    <w:rsid w:val="00916409"/>
    <w:rsid w:val="0091671A"/>
    <w:rsid w:val="0092031C"/>
    <w:rsid w:val="0092455F"/>
    <w:rsid w:val="009253CD"/>
    <w:rsid w:val="009265BC"/>
    <w:rsid w:val="00926847"/>
    <w:rsid w:val="00933A8E"/>
    <w:rsid w:val="00935284"/>
    <w:rsid w:val="00935539"/>
    <w:rsid w:val="00937375"/>
    <w:rsid w:val="00942B92"/>
    <w:rsid w:val="00944BBE"/>
    <w:rsid w:val="00955A14"/>
    <w:rsid w:val="00956E38"/>
    <w:rsid w:val="00957D44"/>
    <w:rsid w:val="009606E1"/>
    <w:rsid w:val="009622E7"/>
    <w:rsid w:val="0096353F"/>
    <w:rsid w:val="00963851"/>
    <w:rsid w:val="0097158B"/>
    <w:rsid w:val="00971636"/>
    <w:rsid w:val="00971CA9"/>
    <w:rsid w:val="00973974"/>
    <w:rsid w:val="00973D7A"/>
    <w:rsid w:val="00982AEB"/>
    <w:rsid w:val="00983623"/>
    <w:rsid w:val="00986381"/>
    <w:rsid w:val="0099373E"/>
    <w:rsid w:val="0099399A"/>
    <w:rsid w:val="009A1227"/>
    <w:rsid w:val="009A13AA"/>
    <w:rsid w:val="009A1A53"/>
    <w:rsid w:val="009A3407"/>
    <w:rsid w:val="009A6D42"/>
    <w:rsid w:val="009B1795"/>
    <w:rsid w:val="009B4349"/>
    <w:rsid w:val="009B76EE"/>
    <w:rsid w:val="009C097B"/>
    <w:rsid w:val="009C4632"/>
    <w:rsid w:val="009C5A7D"/>
    <w:rsid w:val="009C78AD"/>
    <w:rsid w:val="009D1031"/>
    <w:rsid w:val="009D2D54"/>
    <w:rsid w:val="009E0530"/>
    <w:rsid w:val="009E0CA8"/>
    <w:rsid w:val="009E6B0B"/>
    <w:rsid w:val="009F2A56"/>
    <w:rsid w:val="009F7D04"/>
    <w:rsid w:val="009F7D9B"/>
    <w:rsid w:val="00A02410"/>
    <w:rsid w:val="00A048AA"/>
    <w:rsid w:val="00A05451"/>
    <w:rsid w:val="00A067DC"/>
    <w:rsid w:val="00A06DCD"/>
    <w:rsid w:val="00A0731A"/>
    <w:rsid w:val="00A07451"/>
    <w:rsid w:val="00A11E7D"/>
    <w:rsid w:val="00A242B3"/>
    <w:rsid w:val="00A265CA"/>
    <w:rsid w:val="00A266C3"/>
    <w:rsid w:val="00A3008B"/>
    <w:rsid w:val="00A3015E"/>
    <w:rsid w:val="00A420AB"/>
    <w:rsid w:val="00A42EA1"/>
    <w:rsid w:val="00A42FBA"/>
    <w:rsid w:val="00A46644"/>
    <w:rsid w:val="00A51EF3"/>
    <w:rsid w:val="00A5294C"/>
    <w:rsid w:val="00A53A5A"/>
    <w:rsid w:val="00A55505"/>
    <w:rsid w:val="00A62AF0"/>
    <w:rsid w:val="00A63E84"/>
    <w:rsid w:val="00A664AE"/>
    <w:rsid w:val="00A70073"/>
    <w:rsid w:val="00A7214B"/>
    <w:rsid w:val="00A72962"/>
    <w:rsid w:val="00A73F3A"/>
    <w:rsid w:val="00A74081"/>
    <w:rsid w:val="00A7538A"/>
    <w:rsid w:val="00A77567"/>
    <w:rsid w:val="00A825E0"/>
    <w:rsid w:val="00A82D25"/>
    <w:rsid w:val="00A86EB1"/>
    <w:rsid w:val="00A936D8"/>
    <w:rsid w:val="00A93AEF"/>
    <w:rsid w:val="00A96236"/>
    <w:rsid w:val="00A96475"/>
    <w:rsid w:val="00AA0CCB"/>
    <w:rsid w:val="00AA1947"/>
    <w:rsid w:val="00AA6F9D"/>
    <w:rsid w:val="00AB21D4"/>
    <w:rsid w:val="00AC0509"/>
    <w:rsid w:val="00AD36EF"/>
    <w:rsid w:val="00AE3EB1"/>
    <w:rsid w:val="00AE502B"/>
    <w:rsid w:val="00AE5574"/>
    <w:rsid w:val="00AE569B"/>
    <w:rsid w:val="00AE7435"/>
    <w:rsid w:val="00AE7A36"/>
    <w:rsid w:val="00AF594D"/>
    <w:rsid w:val="00B004C4"/>
    <w:rsid w:val="00B02DFB"/>
    <w:rsid w:val="00B02EB9"/>
    <w:rsid w:val="00B063EB"/>
    <w:rsid w:val="00B074C9"/>
    <w:rsid w:val="00B105B9"/>
    <w:rsid w:val="00B1463E"/>
    <w:rsid w:val="00B1504F"/>
    <w:rsid w:val="00B15B8F"/>
    <w:rsid w:val="00B16C0D"/>
    <w:rsid w:val="00B17296"/>
    <w:rsid w:val="00B20908"/>
    <w:rsid w:val="00B212C4"/>
    <w:rsid w:val="00B2165D"/>
    <w:rsid w:val="00B2279B"/>
    <w:rsid w:val="00B234D0"/>
    <w:rsid w:val="00B34468"/>
    <w:rsid w:val="00B4117E"/>
    <w:rsid w:val="00B425A0"/>
    <w:rsid w:val="00B4268F"/>
    <w:rsid w:val="00B45035"/>
    <w:rsid w:val="00B51B9E"/>
    <w:rsid w:val="00B5376A"/>
    <w:rsid w:val="00B57D63"/>
    <w:rsid w:val="00B61894"/>
    <w:rsid w:val="00B63680"/>
    <w:rsid w:val="00B6414A"/>
    <w:rsid w:val="00B652E9"/>
    <w:rsid w:val="00B72233"/>
    <w:rsid w:val="00B74AF9"/>
    <w:rsid w:val="00B751DD"/>
    <w:rsid w:val="00B77382"/>
    <w:rsid w:val="00B83A8E"/>
    <w:rsid w:val="00B85CCE"/>
    <w:rsid w:val="00B85E74"/>
    <w:rsid w:val="00B87DD2"/>
    <w:rsid w:val="00B913AA"/>
    <w:rsid w:val="00B9323F"/>
    <w:rsid w:val="00B950A7"/>
    <w:rsid w:val="00B96CCF"/>
    <w:rsid w:val="00B96F8D"/>
    <w:rsid w:val="00BA2E9B"/>
    <w:rsid w:val="00BA6A1F"/>
    <w:rsid w:val="00BA71F6"/>
    <w:rsid w:val="00BB002C"/>
    <w:rsid w:val="00BB3BE1"/>
    <w:rsid w:val="00BB7D2F"/>
    <w:rsid w:val="00BC1A1A"/>
    <w:rsid w:val="00BC1F7C"/>
    <w:rsid w:val="00BC68CB"/>
    <w:rsid w:val="00BC6BF7"/>
    <w:rsid w:val="00BD0E55"/>
    <w:rsid w:val="00BD187F"/>
    <w:rsid w:val="00BD62A6"/>
    <w:rsid w:val="00BD796C"/>
    <w:rsid w:val="00BE1411"/>
    <w:rsid w:val="00BF332A"/>
    <w:rsid w:val="00BF48E6"/>
    <w:rsid w:val="00BF5735"/>
    <w:rsid w:val="00BF628B"/>
    <w:rsid w:val="00BF6D16"/>
    <w:rsid w:val="00C033A0"/>
    <w:rsid w:val="00C0752C"/>
    <w:rsid w:val="00C10E48"/>
    <w:rsid w:val="00C122AE"/>
    <w:rsid w:val="00C147E4"/>
    <w:rsid w:val="00C23CA7"/>
    <w:rsid w:val="00C35498"/>
    <w:rsid w:val="00C37868"/>
    <w:rsid w:val="00C52CE1"/>
    <w:rsid w:val="00C53A2C"/>
    <w:rsid w:val="00C54580"/>
    <w:rsid w:val="00C545C1"/>
    <w:rsid w:val="00C574CA"/>
    <w:rsid w:val="00C61158"/>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1EE6"/>
    <w:rsid w:val="00CB2BC4"/>
    <w:rsid w:val="00CB371D"/>
    <w:rsid w:val="00CB735D"/>
    <w:rsid w:val="00CC00A8"/>
    <w:rsid w:val="00CC0617"/>
    <w:rsid w:val="00CD03DD"/>
    <w:rsid w:val="00CD0E0C"/>
    <w:rsid w:val="00CD55B8"/>
    <w:rsid w:val="00CD59EA"/>
    <w:rsid w:val="00CD7F45"/>
    <w:rsid w:val="00CE0C17"/>
    <w:rsid w:val="00CF0A2D"/>
    <w:rsid w:val="00CF2B81"/>
    <w:rsid w:val="00CF3349"/>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42CD4"/>
    <w:rsid w:val="00D4506D"/>
    <w:rsid w:val="00D56FA9"/>
    <w:rsid w:val="00D646C7"/>
    <w:rsid w:val="00D658EB"/>
    <w:rsid w:val="00D71AFB"/>
    <w:rsid w:val="00D73C7E"/>
    <w:rsid w:val="00D74635"/>
    <w:rsid w:val="00D74B55"/>
    <w:rsid w:val="00D75137"/>
    <w:rsid w:val="00D763A9"/>
    <w:rsid w:val="00D767CE"/>
    <w:rsid w:val="00D76A03"/>
    <w:rsid w:val="00D8234A"/>
    <w:rsid w:val="00D8508C"/>
    <w:rsid w:val="00D85DFF"/>
    <w:rsid w:val="00DA2F0B"/>
    <w:rsid w:val="00DC011D"/>
    <w:rsid w:val="00DC117C"/>
    <w:rsid w:val="00DD73EF"/>
    <w:rsid w:val="00DE1DB2"/>
    <w:rsid w:val="00DE3C96"/>
    <w:rsid w:val="00DE44D0"/>
    <w:rsid w:val="00DF39B6"/>
    <w:rsid w:val="00DF47F2"/>
    <w:rsid w:val="00DF604D"/>
    <w:rsid w:val="00E03784"/>
    <w:rsid w:val="00E05435"/>
    <w:rsid w:val="00E05D4F"/>
    <w:rsid w:val="00E07B8B"/>
    <w:rsid w:val="00E12466"/>
    <w:rsid w:val="00E1693A"/>
    <w:rsid w:val="00E1797E"/>
    <w:rsid w:val="00E21811"/>
    <w:rsid w:val="00E23E65"/>
    <w:rsid w:val="00E24C63"/>
    <w:rsid w:val="00E25D2A"/>
    <w:rsid w:val="00E2637F"/>
    <w:rsid w:val="00E276F5"/>
    <w:rsid w:val="00E36815"/>
    <w:rsid w:val="00E404E9"/>
    <w:rsid w:val="00E433F6"/>
    <w:rsid w:val="00E44298"/>
    <w:rsid w:val="00E44529"/>
    <w:rsid w:val="00E460C0"/>
    <w:rsid w:val="00E50C95"/>
    <w:rsid w:val="00E51297"/>
    <w:rsid w:val="00E52F39"/>
    <w:rsid w:val="00E536AE"/>
    <w:rsid w:val="00E60B51"/>
    <w:rsid w:val="00E63BD4"/>
    <w:rsid w:val="00E65112"/>
    <w:rsid w:val="00E655FC"/>
    <w:rsid w:val="00E67ECE"/>
    <w:rsid w:val="00E717F5"/>
    <w:rsid w:val="00E74482"/>
    <w:rsid w:val="00E7716C"/>
    <w:rsid w:val="00E82002"/>
    <w:rsid w:val="00E853F3"/>
    <w:rsid w:val="00E855FB"/>
    <w:rsid w:val="00E916D2"/>
    <w:rsid w:val="00E93EA5"/>
    <w:rsid w:val="00E95806"/>
    <w:rsid w:val="00EA0FFE"/>
    <w:rsid w:val="00EA1910"/>
    <w:rsid w:val="00EA5478"/>
    <w:rsid w:val="00EA59D3"/>
    <w:rsid w:val="00EB2A2A"/>
    <w:rsid w:val="00EB2E16"/>
    <w:rsid w:val="00EB70B9"/>
    <w:rsid w:val="00EC4961"/>
    <w:rsid w:val="00EC5B80"/>
    <w:rsid w:val="00ED1119"/>
    <w:rsid w:val="00ED24E8"/>
    <w:rsid w:val="00ED2989"/>
    <w:rsid w:val="00ED5CE9"/>
    <w:rsid w:val="00ED64D8"/>
    <w:rsid w:val="00EE0916"/>
    <w:rsid w:val="00EE18A3"/>
    <w:rsid w:val="00EE1B51"/>
    <w:rsid w:val="00EE2F19"/>
    <w:rsid w:val="00EE33FF"/>
    <w:rsid w:val="00EF04F8"/>
    <w:rsid w:val="00EF0661"/>
    <w:rsid w:val="00EF1B9D"/>
    <w:rsid w:val="00F03C41"/>
    <w:rsid w:val="00F06CCA"/>
    <w:rsid w:val="00F17C55"/>
    <w:rsid w:val="00F24F8B"/>
    <w:rsid w:val="00F25E2E"/>
    <w:rsid w:val="00F2670B"/>
    <w:rsid w:val="00F27E11"/>
    <w:rsid w:val="00F3082A"/>
    <w:rsid w:val="00F32608"/>
    <w:rsid w:val="00F33E0D"/>
    <w:rsid w:val="00F37F1A"/>
    <w:rsid w:val="00F402F9"/>
    <w:rsid w:val="00F4041D"/>
    <w:rsid w:val="00F40AE3"/>
    <w:rsid w:val="00F43594"/>
    <w:rsid w:val="00F44E19"/>
    <w:rsid w:val="00F54322"/>
    <w:rsid w:val="00F547CE"/>
    <w:rsid w:val="00F60DEA"/>
    <w:rsid w:val="00F64536"/>
    <w:rsid w:val="00F64DF6"/>
    <w:rsid w:val="00F65646"/>
    <w:rsid w:val="00F679F3"/>
    <w:rsid w:val="00F67B35"/>
    <w:rsid w:val="00F70967"/>
    <w:rsid w:val="00F70A14"/>
    <w:rsid w:val="00F721A4"/>
    <w:rsid w:val="00F73796"/>
    <w:rsid w:val="00F75BF8"/>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0357"/>
    <w:rsid w:val="00FF3A13"/>
    <w:rsid w:val="00FF522F"/>
    <w:rsid w:val="00FF6368"/>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930510">
      <w:bodyDiv w:val="1"/>
      <w:marLeft w:val="0"/>
      <w:marRight w:val="0"/>
      <w:marTop w:val="0"/>
      <w:marBottom w:val="0"/>
      <w:divBdr>
        <w:top w:val="none" w:sz="0" w:space="0" w:color="auto"/>
        <w:left w:val="none" w:sz="0" w:space="0" w:color="auto"/>
        <w:bottom w:val="none" w:sz="0" w:space="0" w:color="auto"/>
        <w:right w:val="none" w:sz="0" w:space="0" w:color="auto"/>
      </w:divBdr>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fcc.gov/edocs_public/attachmatch/FCC-16-55A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pps.fcc.gov/edocs_public/attachmatch/FCC-15-47A1.pd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4475-9310-4E3F-AE01-8100832FF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3</Pages>
  <Words>1743</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11661</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Kim, John Y</cp:lastModifiedBy>
  <cp:revision>37</cp:revision>
  <cp:lastPrinted>2016-07-27T13:34:00Z</cp:lastPrinted>
  <dcterms:created xsi:type="dcterms:W3CDTF">2016-08-11T17:26:00Z</dcterms:created>
  <dcterms:modified xsi:type="dcterms:W3CDTF">2016-08-12T13:06:00Z</dcterms:modified>
</cp:coreProperties>
</file>